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Patvertņu būvnormatīvs LBN 210-24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būvnormatīvs LBN 210-24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nevienā normatīvajā aktā nav noteikts, kas ir "patvertne" un kādās kategorijās tās iedala, lūdzam projektu tālākai virzībai iesniegt, kad tiesību akta projekts "Grozījumi Civilās aizsardzības un katastrofas pārvaldīšanas likumā" (turpmāk - likumprojekts), kas pašlaik atrodas saskaņošanas stadijā Tiesību aktu projektu saskaņošanas portālā (24-TA-287) un kura 2. pants paredz papildināt Civilās aizsardzības un katastrofas pārvaldīšanas likumu ar 7.1 pantu ar skaidrojumu, kas ir patvertnes, būs izskatīts Saeimā 2. lasījumā. Arī tiesību akta projekta "Patvertņu būvnormatīvs LBN 210-24" sākotnējās ietekmes (ex-ante) novērtējuma ziņojuma (turpmāk - anotācija) 1.3. sadaļā "Risinājuma apraksts" norādīts, ka Būvnormatīva prasības ir obligātas tikai Civilās aizsardzības un katastrofas pārvaldīšanas likumā noteiktajos gadījumos. Vēršam Jūsu uzmanību uz to, ka pašlaik spēkā esošais regulējums Civilās aizsardzības un katastrofas pārvaldīšanas likumā nenoteic, kas ir "patvertne".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būvnormatīvs LBN 210-24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projekta tekstu raksta loģiskā secībā, normatīvajiem aktiem atbilstošā vienotā stilistikā, izmantojot vienveidīgas un standartizētas vārdiskās izteiksmes. Ievērojot minēto, lūdzam strukturēt noteikumu projekta normas secīgi - sākumā aprakstot I. un tad II. kategorijai piemērojamās prasības, vai arī vienveidīgi strukturējot normas pēc cita kritērija. Šobrīd daļa normu sākumā runā par I. kategorijai piemērojamām prasībām, un tad par II. kategorijai piemērojām prasībām, bet daļā normu I. un II. kategorijai piemērojamās prasības ir sajauktas, kas apgrūtina noteikumu projekta teksta uztveramību un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Patvertni var paredzēt kā ēkas daļu vai kā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jo tas neparedz tehniskās prasības attiecībā uz būvēm un to elementiem, kā tas noteikts Būvniecības likuma 5. panta pirmās daļas 3. punkta deleģējumā.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Jebkura lietošanas veida telpu grupa vai ēka var būt I vai II kategorijas patvertne. Ja netiek paredzēta patvertnes telpu izmantošana nevienai citai funkcijai, kā tikai patvertnes, tad tās lietošanas veids, kā aizsardzības būvei, ir ar kodu 1274, bet ja paredzēta cita izmantošana, tad piemērojams cits atbilstošs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punktu, jo tas neparedz patvertņu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Patvertņu konstrukcijām jābūt tādām, lai iedarbojoties spiediena viļņu ārkārtas iedarbju slodzēm: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projekta normas raksta loģiskā secībā. Savukārt, noteikumu projekta punktā ietvertās normas iedalot apakšpunktos, katrai apakšpunktā ietvertai normai jāveido viens teikums ar punkta ievaddaļā ietverto normu. Ievērojot minēto, lūdzam pārstrādāt noteikumu projekta 12. punktu, sakārtojot apakšpunktos ietvertās normas loģiskā secībā (piemēram, pēc patvertnes kategorijas/veida, vai pēc slodzes apjoma), kā arī precizēt vārdu galotnes.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12. punktā iekļautajās statiskajās slodzēs ir iekļautas no ieročiem radītās vibrācijas slodzes un dinamiskie palielinājumi.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projektā neietver deklaratīvas normas. Ievērojot minēto, lūdzam svītrot noteikumu projekta 13. punktu, tajā ietverto paskaidrojumu rakstot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Aprēķinus veic atbilstoši Eirokodeksa standartos dotajai aprēķinu metodikai avārijas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punktu ar regulējumu par to, kādus aprēķinus veic atbilstoši Eirokodeksa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anotācijā un attiecīgi precizēt projekta 15. punktu, kas tie ir par Eirokodeksa standartiem, jo atbilstoši Standartizācijas likuma 14.panta pirmajai daļai starptautisko un Eiropas standartizācijas organizāciju standarti, kas reģistrēti Latvijas nacionālā standarta statusā, var būt noformēti arī attiecīgās standartizācijas organizācijas oficiālajā valodā un atbilstoši minētā panta otrajai daļai obligāti piemērojamiem Latvijas nacionālajiem standartiem ir jābūt tulkotiem valsts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Betona stiegrojumam pie maksimālā pārraušanas spēka jānodrošina 5% deformāciju.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 punkts paredz konkrētu betona stiegrojuma deformācijas % mēru. Līdz ar to nav skaidri saprotams, vai patvertnes būvniecībā atļauts izmantot tikai 5% deformāciju nodrošinošu stiegrojumu vai arī ir atļauts izmantot, piemēram, stiegrojumu ar lielāku deformācijas spēju. Ievērojot minēto, lūdzam izvērtēt iespēju noteikt pieļaujamās deformācijas apjomu nevis konstantā % skaitlī, bet robežās "no/līdz" vai citā atbilstošā apjomā.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Betona stiegrojumam pie maksimālā pārraušanas spēka jānodrošina no 5% deformāciju.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Betona stiegrojumam pie maksimālā pārraušanas spēka jānodrošina no 5% līdz 7% deformāciju.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Patvertņu būvnormatīvs LBN 210-24 (turpmāk – būvnormatīvs) nosaka prasības I un II kategorijas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projekta 1. punkta svītrot saīsinājumu "būvnormatīvs", jo tālāk projektā šāds saīsinājums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Aprēķinos pamatu konstrukcijām tiek ņemta vērā ¼  no vertikālā spiediena un trieciena slodzēm. Pieļaujams rēķināties ar to ka šī ir īslaicīga sprādziena radīta slodze, tad ja aprēķins tiek veikts ar pilnu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normas raksta nepārprotami skaidras, lai tās nerada atšķirīgas interpretācijas iespējas. Ievērojot minēto, lūdzam precizēt 14. punkta otro teikumu, nosakot, kādos gadījumos aprēķinā ņem vērā ¼  no vertikālā spiediena un trieciena slodzēm un kādā - pilnu slodzi, vai arī kādas ir minimālās prasības aprēķinā izmantojamās slodzes lielumam un kāda ir īslaicīga sprādziena radīta slodze, pie pilnas slodzes aprēķina.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Durvis, lūkas un ventilācijas atveres patvertnes ārējās norobežojošās konstrukcijās jānovieto tā, lai tās būtu pēc iespējas labāk aizsargātas pret parasto ieroču iedarbību.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tekstu raksta iespējami skaidru, izmantojot vienveidīgas un standartizētas vārdiskās izteiksmes. Termins "parasts ierocis" citos civilo aizsardzību vai ieroču apriti regulējošos normatīvajos aktos netiek lietots. Ievērojot minēto, lūdzam precizēt noteikumu projekta 28. punktu, izvairoties no atšķirīgi interpretējama termina "parasts ierocis" lietošanas.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Patvertnēm jābūt pieslēgtām elektroenerģijas sadales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pēc nepieciešamības nodrošināt patvertnes ar rezerves elektroenerģijas padeves iespējām (ģeneratoru).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19.11.2024.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19.11.2024.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Atzinumi_22-TA-2684.docx</dc:title>
</cp:coreProperties>
</file>

<file path=docProps/custom.xml><?xml version="1.0" encoding="utf-8"?>
<Properties xmlns="http://schemas.openxmlformats.org/officeDocument/2006/custom-properties" xmlns:vt="http://schemas.openxmlformats.org/officeDocument/2006/docPropsVTypes"/>
</file>