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plāna Latvijas Austrumu pierobežas ekonomiskajai izaugsmei un drošības stiprināšanai 2025.–2027. gadam izpildes un ieviešanas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sadaļas </w:t>
            </w:r>
            <w:r w:rsidR="00000000" w:rsidRPr="00000000" w:rsidDel="00000000">
              <w:rPr>
                <w:i w:val="1"/>
                <w:rtl w:val="0"/>
              </w:rPr>
              <w:t xml:space="preserve">1.1.3. Pasākumu īstenošana informatīvās telpas stiprināšanai, krīzes vadībai un nevalstisko</w:t>
            </w:r>
            <w:r w:rsidR="00000000" w:rsidRPr="00000000" w:rsidDel="00000000">
              <w:rPr>
                <w:i w:val="1"/>
                <w:rtl w:val="0"/>
              </w:rPr>
              <w:t xml:space="preserve">organizāciju (turpmāk – NVO) sektora spēcināšanai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otrajā punktā par LSM multimediālo studiju precizēt informāciju par amata vietām. Respektīvi, aktuālā situācija uz 31.03.26. -  Latgales redakcijā (Rēzeknē un Daugavpilī) paredzēta 21 amata vieta, no kurām aizpildītas 15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trešajā punktā papildināt : "2025. gada Mediju atbalsta fonda “Reģionālo un vietējo mediju atbalsta programma” ietvaros kopā visos konkursos Latgales reģionālajiem medijiem tika piešķirti 682 035 EUR, tostarp konkursā “Latgales reģions” atbalstīti 12 projekti par kopējo finansējumu 196 657 EUR (6 projekti kategorijā “Latgales reģiona elektroniskie plašsaziņas līdzekļi” un 6 projekti kategorijā “Latgales reģiona preses izdevumi un interneta vietnes)".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Marija Sitniece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apakšsadaļu 1.3.1. Uzņēmēju vajadzību un augstākās izglītības un zinātnes piedāvājuma sinerģijas stiprināšana papildināt virs šī teikuma Mākslu izglītības kompetences centra “Latgales Mūzikas un mākslas vidusskola” projektā plānoti būvdarbi skolas ēkām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Mākslas akadēmijas Latgales filiālē, kur tiek īstenotas studijas glezniecības, grafikas, restaurācijas un tēlniecības specialitātēs, tiek veikti ieguldījumi materiāltehniskās bāzes stiprināšanā un izglītības eksporta veicināšanā - gan esošā valsts budžeta ietvaros, gan augstskolai piesaistot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Mākslas akadēmijas Latgales filiālē, kur tiek īstenotas studijas glezniecības, grafikas, restaurācijas un tēlniecības specialitātēs, tiek veikti ieguldījumi materiāltehniskās bāzes stiprināšanā un izglītības eksporta veicināšanā - gan esošā valsts budžeta ietvaros, gan augstskolai piesaistot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centra “Latgales Mūzikas un mākslas vidusskola” projektā plānoti būvdarbi skolas ēkām – dienesta viesnīcai, Rēzeknes Mākslas un dizaina skolas struktūrvienības mācību ēkai un Jāņa Ivanova Mūzikas skolas struktūrvienības mācību ēkai. Plānota mūsdienīgu iekārtu un aprīkojuma iegāde kultūrizglītības nozarei aktuālo prasmju apguvei, projekta ietvaros piesaistot ES fondu finansējumu 2 550 000 EUR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Priede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23.31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23.31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Atzinumi_26-TA-985.docx</dc:title>
</cp:coreProperties>
</file>

<file path=docProps/custom.xml><?xml version="1.0" encoding="utf-8"?>
<Properties xmlns="http://schemas.openxmlformats.org/officeDocument/2006/custom-properties" xmlns:vt="http://schemas.openxmlformats.org/officeDocument/2006/docPropsVTypes"/>
</file>