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darbības kārtības noteikumi un daudzgadu darbības programma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29.1.2. kukuļņemšana, kukuļdošana, kukuļa piesavināšanās, starpniecība kukuļošanā, neatļauta labuma pieņemšana vai komerciāla uzpirkšana, prettiesiska labuma pieprasīšana, pieņemšana vai došana, tirgošanās ar ietekmi;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Krimināllikuma 198.panta nosaukumā norādīto, aizstāt projekta 29.1.2.apakšpunktā vārdus "neatļauta labuma pieņemšana" ar vārdiem "neatļauta labumu pieņemšana".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29.1.4. izvairīšanās no nodokļu un tiem pielīdzināto maksājumu samaksas;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Krimināllikuma 218.panta nosaukumā norādīto, aizstāt projekta 29.1.4.apakšpunktā vārdu "samaksas" ar vārdu "nomaksas".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29.1.5. terorisms, terorisma finansēšana, teroristu grupas izveide vai organizēšana, ceļošana terorisma nolūkā, terorisma attaisnošana, aicinājums uz terorismu, terorisma draudi vai personas vervēšana un apmācība terora aktu veikšanai.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Krimināllikuma 79.</w:t>
            </w:r>
            <w:r w:rsidR="00000000" w:rsidRPr="00000000" w:rsidDel="00000000">
              <w:rPr>
                <w:vertAlign w:val="superscript"/>
                <w:rtl w:val="0"/>
              </w:rPr>
              <w:t xml:space="preserve">4 </w:t>
            </w:r>
            <w:r w:rsidR="00000000" w:rsidRPr="00000000" w:rsidDel="00000000">
              <w:rPr>
                <w:rtl w:val="0"/>
              </w:rPr>
              <w:t xml:space="preserve">panta nosaukumā norādīto, aizstāt projekta 29.1.5.apakšpunktā vārdus "personas vervēšana un apmācība terora aktu veikšanai" ar vārdiem "personas vervēšana, apmācīšana un apmācīšanās terorismam".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14.11.2022.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22-TA-1466</w:t>
    </w:r>
    <w:r>
      <w:br/>
    </w:r>
    <w:r w:rsidR="00000000" w:rsidRPr="00000000" w:rsidDel="00000000">
      <w:rPr>
        <w:rtl w:val="0"/>
      </w:rPr>
      <w:t xml:space="preserve">Izdrukāts 14.11.2022.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