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īstenojot šo noteikumu </w:t>
            </w:r>
            <w:r w:rsidR="00000000" w:rsidRPr="00000000" w:rsidDel="00000000">
              <w:rPr>
                <w:rtl w:val="0"/>
              </w:rPr>
              <w:t xml:space="preserve">20.4. </w:t>
            </w:r>
            <w:r w:rsidR="00000000" w:rsidRPr="00000000" w:rsidDel="00000000">
              <w:rPr>
                <w:rtl w:val="0"/>
              </w:rPr>
              <w:t xml:space="preserve">apakšpunktā</w:t>
            </w:r>
            <w:r w:rsidR="00000000" w:rsidRPr="00000000" w:rsidDel="00000000">
              <w:rPr>
                <w:rtl w:val="0"/>
              </w:rPr>
              <w:t xml:space="preserve"> </w:t>
            </w:r>
            <w:r w:rsidR="00000000" w:rsidRPr="00000000" w:rsidDel="00000000">
              <w:rPr>
                <w:color w:val="#c0392b"/>
                <w:rtl w:val="0"/>
              </w:rPr>
              <w:t xml:space="preserve"> </w:t>
            </w:r>
            <w:r w:rsidR="00000000" w:rsidRPr="00000000" w:rsidDel="00000000">
              <w:rPr>
                <w:rtl w:val="0"/>
              </w:rPr>
              <w:t xml:space="preserve">minēto darbību, projekta īstenošanā var papildus iesaistīt sadarbības partnerus  augstākās izglītības iestādes un zinātniskās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MK noteikumu projekta 14. un 15.punktā netiek definēti konkrēti sadarbības partneri, turklāt 15.punktā teikts, ka var piesaistīt pakalpojuma sniedzējus, lūdzam izvērtēt, vai minētajos punktos plānotā iespējamā partnerība nav pakalpojuma sniegšana publisko iepirkumu regulējuma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Finansējuma saņēmēja sadarbības partneris Valsts izglītības satura centrs savas kompetences ietvaros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minēto darbību īsteno sadarbībā ar nacionālā līmeņa zinātnes, izglītības un kultūras institūciju - zinātnes universitāti.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kādā statusā projekta īstenošanā būs sadarbības partnera Valsts izglītības centra plānotā partnerība ar nacionālā līmeņa zinātnes, izglītības un kultūras institūciju - zinātnes universitāti, un vai tā nav pakalpojuma sniegšana publisko iepirkumu regulējuma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projekta īstenošanas personāla izmaksas šo noteikumu </w:t>
            </w:r>
            <w:r w:rsidR="00000000" w:rsidRPr="00000000" w:rsidDel="00000000">
              <w:rPr>
                <w:rtl w:val="0"/>
              </w:rPr>
              <w:t xml:space="preserve">20.1.</w:t>
            </w:r>
            <w:r w:rsidR="00000000" w:rsidRPr="00000000" w:rsidDel="00000000">
              <w:rPr>
                <w:shd w:fill="#ffffff" w:val="clear"/>
                <w:rtl w:val="0"/>
              </w:rPr>
              <w:t xml:space="preserve">, </w:t>
            </w:r>
            <w:r w:rsidR="00000000" w:rsidRPr="00000000" w:rsidDel="00000000">
              <w:rPr>
                <w:rtl w:val="0"/>
              </w:rPr>
              <w:t xml:space="preserve">20.2.</w:t>
            </w:r>
            <w:r w:rsidR="00000000" w:rsidRPr="00000000" w:rsidDel="00000000">
              <w:rPr>
                <w:rtl w:val="0"/>
              </w:rPr>
              <w:t xml:space="preserve"> ​​​​​​, </w:t>
            </w:r>
            <w:r w:rsidR="00000000" w:rsidRPr="00000000" w:rsidDel="00000000">
              <w:rPr>
                <w:rtl w:val="0"/>
              </w:rPr>
              <w:t xml:space="preserve">20.3.</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20.7.</w:t>
            </w:r>
            <w:r w:rsidR="00000000" w:rsidRPr="00000000" w:rsidDel="00000000">
              <w:rPr>
                <w:rtl w:val="0"/>
              </w:rPr>
              <w:t xml:space="preserve"> un </w:t>
            </w:r>
            <w:r w:rsidR="00000000" w:rsidRPr="00000000" w:rsidDel="00000000">
              <w:rPr>
                <w:rtl w:val="0"/>
              </w:rPr>
              <w:t xml:space="preserve">20.10.</w:t>
            </w:r>
            <w:r w:rsidR="00000000" w:rsidRPr="00000000" w:rsidDel="00000000">
              <w:rPr>
                <w:rtl w:val="0"/>
              </w:rPr>
              <w:t xml:space="preserve">20.7.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precizētajā MK noteikumu projekta versijā ir pārdefinēts 22.1.1.apakšpunkts, norādot tajā sadarbības partnerus, kas minēti noteikumu projekta 12.punktā, tad lūdzam attiecīgi precizēt, uz kuros punktos minētajiem sadarbības partneriem ir attiecināmas 22.1.2.apakšpunktā minētās personāla izmaksas, kā arī lūdzam pārskatīt, uz kuru darbību īstenošanu tās tiek attiecinātas.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lūdzam nodrošināt vienotu un vienlīdzīgu pieeju personāla izmaksu segšanai, jo no esošās redakcijas saprotams, ka ir paredzēts tikai atsevišķiem sadarbības partneriem personāla īstenošanas izmaksas segt ar vienkāršotajām izmaksām, nevis visiem sadarbības partneriem. Vēršam uzmanību, ka nav pieļaujama situācija, ka vienas un tās pašas izmaksu kategorijas tiek attiecinātas gan pēc vienkāršoto izmaksu, gan pēc faktisko izmaksu metodes.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ārvalstu komandējumu un dienesta braucienu izmaksas atbilstoši normatīvajiem aktiem par kārtību, kādā atlīdzināmi ar komandējumu saistītie izdevumi, finansējuma saņēmēja projekta vadītājam un projekta īstenošanas personālam atbalstāmo darbību īstenošanai, ja tās ir skaidri saistāmas ar projekta rezultātu sasniegšanu. Atbalstāmās darbības noteikta noteikumu projekta </w:t>
            </w:r>
            <w:r w:rsidR="00000000" w:rsidRPr="00000000" w:rsidDel="00000000">
              <w:rPr>
                <w:rtl w:val="0"/>
              </w:rPr>
              <w:t xml:space="preserve">20. </w:t>
            </w:r>
            <w:r w:rsidR="00000000" w:rsidRPr="00000000" w:rsidDel="00000000">
              <w:rPr>
                <w:rtl w:val="0"/>
              </w:rPr>
              <w:t xml:space="preserve">punkt</w:t>
            </w:r>
            <w:r w:rsidR="00000000" w:rsidRPr="00000000" w:rsidDel="00000000">
              <w:rPr>
                <w:rtl w:val="0"/>
              </w:rPr>
              <w:t xml:space="preserve">ā un to īstenošanai noteikumu projekta </w:t>
            </w:r>
            <w:r w:rsidR="00000000" w:rsidRPr="00000000" w:rsidDel="00000000">
              <w:rPr>
                <w:rtl w:val="0"/>
              </w:rPr>
              <w:t xml:space="preserve">21. </w:t>
            </w:r>
            <w:r w:rsidR="00000000" w:rsidRPr="00000000" w:rsidDel="00000000">
              <w:rPr>
                <w:rtl w:val="0"/>
              </w:rPr>
              <w:t xml:space="preserve">punkt</w:t>
            </w:r>
            <w:r w:rsidR="00000000" w:rsidRPr="00000000" w:rsidDel="00000000">
              <w:rPr>
                <w:rtl w:val="0"/>
              </w:rPr>
              <w:t xml:space="preserve">ā noteiktas attiecināmo izmaksu pozīcijas, ievērojot Vadošās iestādes vadlīnijas Nr.1.2. "Vadlīnijas attiecināmo izmaksu noteikšanai Eiropas Savienības kohēzijas politikas programmas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17.punktā iekļauto iepriekš izteiktā iebilduma daļu, kurā tika lūgts izvērtēt un anotācijā detalizēti pamatot, kādam mērķim un kuram personālam ir nepieciešami ārvalstu komandējumi. Vienlaikus lūdzam 22.2.4.apakšpunktā norādīt konkrētas 20.punkta apakšpunktos minētās darbības, kuru ietvaros atbalstāmi ārvalstu komandējumi.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22.2.5. stipendijas mēnesī datu analītiķiem (doktorantiem, kas deleģēti no zinātnisko institūciju konsorcija) pašvaldībās šo noteikumu </w:t>
            </w:r>
            <w:r w:rsidR="00000000" w:rsidRPr="00000000" w:rsidDel="00000000">
              <w:rPr>
                <w:rtl w:val="0"/>
              </w:rPr>
              <w:t xml:space="preserve">20.7.</w:t>
            </w:r>
            <w:r w:rsidR="00000000" w:rsidRPr="00000000" w:rsidDel="00000000">
              <w:rPr>
                <w:rtl w:val="0"/>
              </w:rPr>
              <w:t xml:space="preserve"> apakšpunktā minētās atbalstāmās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projekta 22.2.5.apakšpunkta un anotācijā sniegtā skaidrojuma nav skaidras juridiskās attiecības starp finansējuma saņēmēju un zinātnisko institūciju konsorcijiem, jo iztrūkst sasaistes ar 20.7.apakšpunktā minētās darbības īstenošanu, kā arī nav saprotams, vai stipendija tiek maksāta par pētniecības darbu vai datu analītiķa darba pienākumu veikšanu pašvaldībā. Lūdzam attiecīgi papildināt MK noteikumu projektu un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22.2.14. finansējuma saņēmēja projekta vadības personāla un projekta īstenošanas personāla un sadarbības partnera projekta īstenošanas personāla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22.2.14.apakšpunkta nepieciešamību, ņemot vērā to, ka finansējuma saņēmēja projekta vadības personāla un īstenošanas personāla, kā arī sadarbības personāla izmaksas ir jau paredzētas 22.1.apakšpunktā, savukārt mācību, konferenču u.c. pasākumu organizēšanas un īstenošanas pakalpojumu izmaksas ir jau paredzētas 22.2.10. un 22.2.11.apakšpunktā.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pēc projekta īstenošanas beigām nodrošina ieguldījumu ilgtspēju.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38.punktā lūdzam norādīt ilgtspējas nodrošināšanas ilgumu (gados) un noteikt, kuriem tieši ieguldījumiem ir jānodrošina ilgtspēja (piemēram, jaunajiem IKMS rīkiem), savukārt anotācjiu lūdzam papildināt ar skaidrojumu, ko pasākuma ietvaros nozīmē Ilgtspējas nodrošināšana un kādas ir iesaistīto iestāžu funkcijas ilgtspējas nodrošināšanā un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38.punktā paredzēto, ka finansējuma saņēmējs pēc projekta īstenošanas beigām nodrošina ieguldījumu ilgtspēju, kā arī anotācijas 3.sadaļas apakšsadaļā "Cita informācija" sniegto informāciju - ņemot vērā projektā plānoto finansējumu, nepieciešamais valsts budžeta finansējums pēc projekta īstenošanas beigām indikatīvi veido 300 000 euro gadā - lūdzam papildināt šo sadaļu ar pamatojumu uzrādītajam finansējuma apmēram, kā arī sniegt informāciju par finansējuma avotu, no kura attiecīgais finansējums tiks nodrošināts.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anotācijas 3.sadaļā "Tiesību akta projekta ietekme uz valsts budžetu un pašvaldību budžetiem" 1.-5.punktā un 6.punktā "Detalizēts ieņēmumu un izdevumu aprēķins (ja nepieciešams, detalizētu ieņēmumu un izdevumu aprēķinu var pievienot anotācijas (ex-ante) pielikumā)" norādītā finansējuma kopsumma neatbilst noteikumu projekta 8.punktā ietvertajam. Līdz ar to, lūdzam novērst neatbilstības.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4.2.2.4.pasākuma īstenošanai tiek pārdalīts finansējums no 4.2.3.2.pasākuma un saistībā ar šo finansējuma pārdali ir ierosināti grozījumi ES kohēzijas politikas programmā 2021.-2027.gadam attiecībā uz 4.2.3.2.pasākuma uzraudzības rādītājiem un kuri vēl nav līdz galam saskaņoti ar Eiropas Komisiju, lūdzam izvērtēt Programmas grozījumu potenciālo ietekmi uz pasākuma īstenošanu un papildināt MK protokollēmuma projektu ar punktu par atbildīgās iestādes rīcību gadījumā, ja Eiropas Komisija neatbalsta rādītāju samazinājumu 4.2.3.2.pasākumā un tam ir ietekme uz iespējamību pārdalīt finansējumu uz 4.2.2.4.pasākumu plānotajā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līdz vienošanās par projekta īstenošanu noslēgšanai ar Centrālo finanšu un līgumu aģentūru 4.2.2.4. pasākuma "Izglītības kvalitātes monitoringa sistēmas attīstība un nodrošināšana" (turpmāk - 4.2.2.4. pasākums) īstenošanai nepieciešamo finansējumu attiecināmo izmaksu segšanai Izglītības un zinātnes ministrijai kā 4.2.2.4. pasākuma plānotajam finansējuma saņēmējam līdz 1 911 905 euro apmērā 2024. gadā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2018. gada 17. jūlija Ministru kabineta noteikumu Nr. 421 "Kārtība, kādā veic gadskārtējā valsts budžeta likumā noteiktās apropriācijas izmaiņas" 24.2. apakšpunkts paredz, ka no 80.00.00. programmas līdzekļus izņēmuma kārtā pirms Eiropas Savienības fondu projektu iesnieguma apstiprināšanas sadarbības iestādē, ja Ministru kabinets, pamatojoties uz iesniegto argumentāciju un risku analīzi, ir pieņēmis lēmumu par konkrētā plānotā projekta izdevumu priekšfinansēšanu noteiktā apjomā un izdevumu pozīcijām atbilstoši projektā izvirzītajam mērķim. Norādām, ka šobrīd anotācijā nav sniegti aprēķini, kas pamato protokollēmuma projektā norādīto finansējumu līdz vienošanās noslēgšanai par projekta īstenošanu. Līdz ar to, lūdzam papildināt anotāciju ar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plānoto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 “plānoto” ar vārdu “pieejamo”, ņemot vērā, ka pasākumā vairs netiek plānots elastības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plānotais kopējais finansējums ir</w:t>
            </w:r>
            <w:r w:rsidR="00000000" w:rsidRPr="00000000" w:rsidDel="00000000">
              <w:rPr>
                <w:b w:val="1"/>
                <w:rtl w:val="0"/>
              </w:rPr>
              <w:t xml:space="preserve"> </w:t>
            </w:r>
            <w:r w:rsidR="00000000" w:rsidRPr="00000000" w:rsidDel="00000000">
              <w:rPr>
                <w:rtl w:val="0"/>
              </w:rPr>
              <w:t xml:space="preserve">21 288 711  euro, tai skaitā Eiropas Sociālā fonda Plus finansējums 18 095 404 euro un valsts budžeta finansējums – 3 193 307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8.punktā, ka šis ir pasākuma ietvaros </w:t>
            </w:r>
            <w:r w:rsidR="00000000" w:rsidRPr="00000000" w:rsidDel="00000000">
              <w:rPr>
                <w:b w:val="1"/>
                <w:rtl w:val="0"/>
              </w:rPr>
              <w:t xml:space="preserve">pieejamais</w:t>
            </w:r>
            <w:r w:rsidR="00000000" w:rsidRPr="00000000" w:rsidDel="00000000">
              <w:rPr>
                <w:rtl w:val="0"/>
              </w:rPr>
              <w:t xml:space="preserve"> kopējais finansējums, ņemot vērā, ka pasākuma ietvaros vairs netiek paredzēta elastības finansējuma rezerve.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Eiropas Sociālā fonda Plus finansējuma intensitāte nav lielāka par 85 % no projekta attiecināmo izmaksu kopsummas un valsts budžeta līdzfinansējums nav mazāks par 15% no projektam plānotā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pieļaujama nenoteiktība valsts budžeta līdzfinansējuma plānošanā, lūdzam aizstāt vārdus "nav lielāka par" un "nav mazāks par" ar vārdu "ir".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komunikācijas pasākumi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veiktajiem precizējumiem noteikumu projekta 20.10. apakšpunktā. Vienlaikus, lai nodrošinātu pilnvērtīgu atbilstību Eiropas Savienības fondus regulējošajos normatīvajos aktos un praksē lietotajai terminoloģijai "komunikācijas un vizuālās identitātes prasību nodrošināšanas nosacījumi", atkārtoti lūdzam atbilstoši precizēt noteikumu projekta 20.10. apakšpunktu, proti, papildinot aiz vārda "komunikācijas" ar vārdiem "un vizuālās identitātes prasību nodrošināšanas".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noteikumu projekta 22.2.9.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komunikācijas un vizuālās identitātes prasību nodrošināšanas pasākumi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ārvalstu komandējumu un dienesta braucienu izmaksas atbilstoši normatīvajiem aktiem par kārtību, kādā atlīdzināmi ar komandējumu saistītie izdevumi, finansējuma saņēmēja projekta vadītājam un projekta īstenošanas personālam atbalstāmo darbību īstenošanai, ja tās ir skaidri saistāmas ar projekta rezultātu sasniegšanu. Atbalstāmās darbības noteikta noteikumu projekta </w:t>
            </w:r>
            <w:r w:rsidR="00000000" w:rsidRPr="00000000" w:rsidDel="00000000">
              <w:rPr>
                <w:rtl w:val="0"/>
              </w:rPr>
              <w:t xml:space="preserve">20. </w:t>
            </w:r>
            <w:r w:rsidR="00000000" w:rsidRPr="00000000" w:rsidDel="00000000">
              <w:rPr>
                <w:rtl w:val="0"/>
              </w:rPr>
              <w:t xml:space="preserve">punkt</w:t>
            </w:r>
            <w:r w:rsidR="00000000" w:rsidRPr="00000000" w:rsidDel="00000000">
              <w:rPr>
                <w:rtl w:val="0"/>
              </w:rPr>
              <w:t xml:space="preserve">ā un to īstenošanai noteikumu projekta </w:t>
            </w:r>
            <w:r w:rsidR="00000000" w:rsidRPr="00000000" w:rsidDel="00000000">
              <w:rPr>
                <w:rtl w:val="0"/>
              </w:rPr>
              <w:t xml:space="preserve">21. </w:t>
            </w:r>
            <w:r w:rsidR="00000000" w:rsidRPr="00000000" w:rsidDel="00000000">
              <w:rPr>
                <w:rtl w:val="0"/>
              </w:rPr>
              <w:t xml:space="preserve">punkt</w:t>
            </w:r>
            <w:r w:rsidR="00000000" w:rsidRPr="00000000" w:rsidDel="00000000">
              <w:rPr>
                <w:rtl w:val="0"/>
              </w:rPr>
              <w:t xml:space="preserve">ā noteiktas attiecināmo izmaksu pozīcijas, ievērojot Vadošās iestādes vadlīnijas Nr.1.2. "Vadlīnijas attiecināmo izmaksu noteikšanai Eiropas Savienības kohēzijas politikas programmas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22.2.4. punkta otrā teikuma nepieciešamību, attiecīgo informāciju pārceļot uz anotāciju, ņemot vērā tostarp to, ka norāde, ka atbalstāmās darbības noteiktas noteikumu projekta 20. punktā un ka to īstenošanai noteikumu projekta 21. punktā noteiktas attiecināmo izmaksu pozīcijas, ir deklaratīva.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22.2.8. finansējuma saņēmēja un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sadarbības partneru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euro vienai darba vietai visā projekta īstenošanas laikā, ja finansējuma saņēmēja projekta vadības vai finansējuma saņēmēja īstenošanas personāls ir nodarbināts projektā uz darba līguma pamata vai pieņemts projektā uz rīkojuma pamata,  vai šo noteikumu </w:t>
            </w:r>
            <w:r w:rsidR="00000000" w:rsidRPr="00000000" w:rsidDel="00000000">
              <w:rPr>
                <w:rtl w:val="0"/>
              </w:rPr>
              <w:t xml:space="preserve">12. </w:t>
            </w:r>
            <w:r w:rsidR="00000000" w:rsidRPr="00000000" w:rsidDel="00000000">
              <w:rPr>
                <w:rtl w:val="0"/>
              </w:rPr>
              <w:t xml:space="preserve">punk</w:t>
            </w:r>
            <w:r w:rsidR="00000000" w:rsidRPr="00000000" w:rsidDel="00000000">
              <w:rPr>
                <w:rtl w:val="0"/>
              </w:rPr>
              <w:t xml:space="preserve">tā minēto sadarbības partneru īstenošanas personāls ir nodarbināts projektā uz darba līguma pamata. Ja personāls ir nodarbināts normālu darba laiku, darba vietas aprīkojuma iegādes vai nomas izmaksas ir attiecināmas 100 procentu apmērā. Ja personāls ir nodarbināts nepilnu darba laiku vai saskaņā ar daļlaika attiecināmības principu,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22.2.8.apakšpunktu, jo esošajā precizētajā redakcijā darba vietas aprīkojuma izmaksas 12.punktā minēto sadarbības partneru (VISC, IKVD) īstenošanas personālam attiecas tikai uz personālu, kas ir nodarbināts projektā uz darba līguma pamata un izslēdz personālu, kas pieņemts projektā uz rīkojuma pamata (ierēdņus).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22.2.9. komunikācijas pasākumu izmaksas šo noteikumu </w:t>
            </w:r>
            <w:r w:rsidR="00000000" w:rsidRPr="00000000" w:rsidDel="00000000">
              <w:rPr>
                <w:rtl w:val="0"/>
              </w:rPr>
              <w:t xml:space="preserve">20.10.</w:t>
            </w:r>
            <w:r w:rsidR="00000000" w:rsidRPr="00000000" w:rsidDel="00000000">
              <w:rPr>
                <w:rtl w:val="0"/>
              </w:rPr>
              <w:t xml:space="preserve"> minētās atbalstāmās darbības  īstenošanai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ka komunikācijas un vizuālas identitātes prasību nodrošināšanas pasākumi tiks īstenoti gan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 gan </w:t>
            </w:r>
            <w:r w:rsidR="00000000" w:rsidRPr="00000000" w:rsidDel="00000000">
              <w:rPr>
                <w:u w:val="single"/>
                <w:rtl w:val="0"/>
              </w:rPr>
              <w:t xml:space="preserve">arī ievērojot Eiropas Savienības fondu 2021.–2027. gada plānošanas perioda un Atveseļošanas fonda komunikācijas un dizaina vadlīnijas.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ietvaros finansējuma saņēmējam izmaksas ir attiecināmas, ja tās atbilst šajos noteikumos minētajām izmaksu pozīcijām un ir radušās no 2024.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punktu ar atsauci uz konkrētu noteikumu projekta punktu un atbalstāmo darbību. Vienlaikus, anotācijā lūdzam pie ātrāk attiecināmajām izmaksām precizēt atsauci uz 19.1.apaškpunktu, ņemot vērā, ka atbalstāmās darbības minētas noteikumu projekta 20.punktā.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 ar iepirkuma procedūras rezultātā izvēlētu pakalpojuma sniedzēju līdz 2024. gada 31. decembrim noslēdz pakalpojuma līgumu par IT vides un datu izvērtējuma IK monitoringa rīku un procesu tālākai attīstībai izstrādi vai iegādi.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37.punktu ar atsauci uz konkrētu atbalstāmo darbību (minot noteikumu projekta punktu), kuras īstenošanai nepieciešams līdz 31.12.2024. slēgt pakalpojuma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ES kohēzijas politikas programma 2021.-2027.gadam paredz, ka "4.2.2.SAM paredzētās darbības var sniegt ieguldījumu ESSBJR politikas virziena “Izglītība” īstenošanā, lūdzam papildināt anotāciju ar informāciju vai pasākuma ir vai nav ietekme un ESSBJR, t.sk. norādot, vai investīcijām piemērojams Makroreģionālā un jūras baseinu stratēģija kods 03 - Baltijas jūras reģiona stratēģija.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attiecībā uz anotācijā minēto Izglītības kvalitātes padomi, vai tā ir noteikumu projekta 32.punktā minētā projekta uzraudzības padome, kā arī aprakstīt, vai Izglītības kvalitātes padomes funkcijas nepārklāsies ar citām izglītības jomā esošajām uzraudzības padomēm. Lūdzam aprakstīt, vai padomes darbībai plānots pasākuma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(IZM) kā ES fondu Atbildīgā iestāde izziņā norādījusi, ka noteikumu projektā ESF līdzfinansētā projekta iesniedzējam netiek prasīts veikt projekta izmaksu un ieguvumu analīzi, jo plānotā 4.2.2.4. pasākuma plānotā ietekme nav objektīvi nosakāma naudas izteiksmē. Vienlaikus IZM ir norādījusi, ka "izglītojamo mācību snieguma vērtējums ir viens no objektīviem mērījumiem, kas apliecina sniegtās izglītības kvalitāti, un ka izglītībai ir cieša korelācija ar cilvēka nodarbinātību un labklājību, kas ietekmē arī valsts labklājību un ekonomiku ilgtermiņā, jo augstāks izglītības līmenis veicina produktīvāku darbaspēku, uzņēmējdarbības attīstību un inovācijas, kā arī mazina sociālo atstumtību un kriminālās aktivitātes. Saskaņā ar Centrālās statistikas pārvaldes datiem par 2022.gadā atalgojumu, zemāku atalgojumu par vidējo algu valstī, saņēma 86% darba ņēmēju ar sākumskolas, pamatskolas vai arodizglītību, 80% darba ņēmēju ar vidējo vispārējo vai profesionālo izglītību, 54% darba ņēmēju ar augstāko izglītību".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apgāž izteikto apgalvojumu, ka 4.2.2.4. pasākuma plānotā ietekme nav objektīvi nosakāma naudas izteiksmē. IZM ir jābūt redzējumam, kādā apmērā un kādā termiņā izglītības līmenim ir jāpalielinās, lai mērītu sava darba efektivitāti, līdz ar to tikai viens no veidiem, kā noteikt 4.2.2.4. pasākuma provizorisko efektivitāti, ir konkrētu mērķu noteikšana minēto izglītības līmeņa paaugstināšanai, ko sniegs 4.2.2.4.pasākuma īstenošana. Zinot vidējo atalgojumu sadalījumā pa izglītības līmeņiem pirms projekta un pēc projekta īstenošanas (vai vismaz nosakot minimālo līmeni, kas obligāti jāsasniedz), var aprēķināt sabiedrības ieguvumus naudas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IZM anotācijas ietvaros veikt izmaksu un ieguvumu analīzi, lai pārliecinātos, ka ieguvumi no projekta ir lielāki par projekta īstenošanas un uzturēšanas izmaksām projekta dzīves cikla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