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skaidrojumā par projekta ietekmi uz juridiskām personām identificēt, kādas konkrētas juridiskas personas projekts ietekmē. Pašlaik skaidrota tikai ietekme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izpildes nodrošināšanas ietekmi uz institūcijām, ņemot vērā, ka no anotācijas 1.3. apakšsadaļas saprotama arī Cēsu novada pašvaldības kā sadarbības partnera iesaiste projektā, tāpat tiek mainīts indikatīvais izmaksu apmērs projekta ietvaros veicamajām darbībām, kas potenciāli var ietekmēt darbību īstenotājus.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"Izglītības jomas informācijas sistēmu vienotā arhitektūra un pieteikumu izglītības iestādēs vadības risinājums"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pilnīgus projekta skaidrojumus, anotācijas un projekta savstarpējo atbilstību. Vēršam uzmanību, ka, piemēram, atbilstoši anotācijas 1.3. apakšsadaļai projekta pielikuma 1.2. apakšpunktā veikti grozījumi, kuri projektā nav konstatējami, bet pielikuma 5. punktā veikti grozījumi, kuri netiek skaidroti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12.03.2026.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12.03.2026.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Atzinumi_26-TA-283.docx</dc:title>
</cp:coreProperties>
</file>

<file path=docProps/custom.xml><?xml version="1.0" encoding="utf-8"?>
<Properties xmlns="http://schemas.openxmlformats.org/officeDocument/2006/custom-properties" xmlns:vt="http://schemas.openxmlformats.org/officeDocument/2006/docPropsVTypes"/>
</file>