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Labklājības nozares un pašvaldību sociālās jomas informācijas sistēmas "DigiSoc"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34.14. Ceļu satiksmes drošības direkcijas – šo noteikumu 5.2.2.5.7.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34.14.apakšpunkta redakciju, ietverot valsts akciju sabiedrības "Ceļu satiksmes drošības direkcija" pilnu nosaukumu, kā arī atbilstību normatīvajos aktos noteiktajām funkcijām, jo valsts akciju sabiedrība "Ceļu satiksmes drošības direkcija" nevar sniegt vispārinātus datus par personas kustamo mantu (noteikumu projekta 5.2.2.5.7.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Latvijā ir noteikti vairāki kustamo mantu veidi, kas ir pakļauti reģistrācijai un to nenodrošina tikai valsts akciju sabiedrība "Ceļu satiksmes drošības direkcija".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06.03.2026. 21.44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06.03.2026. 21.44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Atzinumi_25-TA-2022.docx</dc:title>
</cp:coreProperties>
</file>

<file path=docProps/custom.xml><?xml version="1.0" encoding="utf-8"?>
<Properties xmlns="http://schemas.openxmlformats.org/officeDocument/2006/custom-properties" xmlns:vt="http://schemas.openxmlformats.org/officeDocument/2006/docPropsVTypes"/>
</file>