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Vienotās digitālās vārtejas vienreizes principa tehniskās platformas un apliecinājumu pārrobežu pieejamības nodrošināšanas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mērķa formulējumu, akcentējot pozitīvās izmaiņas, ko plānots sasniegt ar šo tiesību aktu. Regulējums pats par sevi nav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kuras fiziskās un juridiskās personas tiks ietekmētas un kā. Ja attiecībā uz fiziskajām un juridiskajām personām tiesību akts uzliek informācijas sniegšanas pienākumu, nepieciešams veikt administratīvā sloga monetāru novērtējumu (detalizētāka vadlīnija par administratīvā sloga identificēšanu un aprēķināšanu sniegta anotācijas 7.2.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uzskaitīt, kuras iestādes ir iesaistītas projekta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14., un 15. punktu, visiem tiesību aktu projektiem ir jāvērtē ietekme uz administratīvo slogu un atbilstības prasības, kā arī jāveic to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administratīvās izmaksas ir tādas izmaksas, ko rada informācijas sniegšanas pienākumi un to izpilde. Attiecīgi izstrādājot tiesību aktu, ir nepieciešams identificēt tās tiesību normas, kas satur informācijas sniegšanas pienākumu, jāizanalizē vai tās satur potenciālas administratīvas izmaksas naudas un laika izteiksmē un, ja analīzes rezultāts ir apstiprinošs, ir jāveic aprēķins par izmaksām, ko rada tiesību aktā iekļautās informācijas sniegšanas prasība, izmantojot paplašināto standarta izmaksu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 sloga novērtēšanas metodiku, par informācijas sniegšanas pienākumu uzskatāma jebkura prasība fiziskai vai juridiskai personai, kā arī valsts vai pašvaldības iestādei sniegt datus citai personai vai valsts iestādei (piemēram, iesnieguma, lūguma, paziņojuma vai cita veida informācijas iesniegšana, kā arī informācijas reģistrēšana), neatkarīgi no tā, vai tā ir obligāta prasība vai tiesību izmantošana noteikta rezultāta sasniegšanai (piemēram, ziņu iekļaušanai vai aktualizēšanai Reģistrā). Vienlaikus informācijas reģistrēšana netiek uzskatīta par administratīvo slogu iestādei, kurai attiecīgā darbība izriet no tās funkcijām, piemēram, valsts informācijas sistēmas uzturētājam.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tiesību akta projektu, Valsts kancelejas ieskatā informācijas sniegšanas prasība iekļauta šādos punktos: 5.1., 5.2., 5.3., 5.4., 6.1., 6.2., 12., 18., 21.2., 21.3., 22.1.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izvērtēt, vai minētās normas rada jaunas vai maina esošas informācijas sniegšanas prasības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valsts iestādēm nošķirt gadījumus, kuros informācijas sniegšana vai reģistrēšana izriet no iestādes funkcijām, no gadījumiem, kuros pienākums iestādei sniegt vai reģistrēt informāciju tiek noteikts ar šo tiesību aktu. Norādām, ka iestādes tiešo funkciju izpilde nav administratīvs slogs;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tiek konstatētas administratīvā sloga izmaiņas, veikt to monetāro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informācijas sniegšanas pienākumu apjomu, ir jānosaka ietekmēto personu skaitu un darbību biežumu. Ja informācijas sniegšanas biežums ir neregulārs vai atkarīgs no individuāliem apstākļiem, administratīvā sloga novērtējumā pieļaujams izmantot indikatīvus pieņēmumus, tos skaidri pamatojot anotācijā (norādot izmantoto datu avotu vai pieņēmumu loģiku).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administratīvo izmaksu novērtējums juridiskām un fiziskām personām aizpildāms anotācijas 2. sadaļā, bet valsts pārvaldes un pašvaldību iestādēm 7.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aprēķinu, nepieciešams pievienot skaidrojumu, uz kuru tiesību akta projekta punktu aprēķins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https://www.mk.gov.lv/lv/media/16902/download?attachment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12.05.2026. 08.42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12.05.2026. 08.42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Atzinumi_25-TA-2211.docx</dc:title>
</cp:coreProperties>
</file>

<file path=docProps/custom.xml><?xml version="1.0" encoding="utf-8"?>
<Properties xmlns="http://schemas.openxmlformats.org/officeDocument/2006/custom-properties" xmlns:vt="http://schemas.openxmlformats.org/officeDocument/2006/docPropsVTypes"/>
</file>