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22-TA-2992: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Statistikas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minēto, ka pienākums sākotnēji ar respondentu sazināties attālināti ieekonomēs finanšu un darbaspēka resursus, lūdzam attiecīgi izvērtēt un nepieciešamības gadījumā aizpildīt anotācijas 3.sadaļu, punktā “Cita informācija” sniedzot informāciju par potenciāli iespējamo valsts budžeta līdzekļu ekonomijas apmēru un izlietošanas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07.03.2023.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07.03.2023.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Atzinumi_22-TA-2992.docx</dc:title>
</cp:coreProperties>
</file>

<file path=docProps/custom.xml><?xml version="1.0" encoding="utf-8"?>
<Properties xmlns="http://schemas.openxmlformats.org/officeDocument/2006/custom-properties" xmlns:vt="http://schemas.openxmlformats.org/officeDocument/2006/docPropsVTypes"/>
</file>