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reģistrācijas numurs 40103548796,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ziņojumam “Par vienotas patērētāju kreditētāju licencēšanas un uzraudzības institūcijas noteikšanu” (7.lpp.), ja Latvijas Bankas uzraudzībā tiktu nodoti šobrīd Patērētāju tiesību aizsardzības centra licencētie nebanku kreditētāji un patērētāju tiesību un interešu aizsardzība finanšu sektorā, tad iegūtu vienotu un efektīvu noziedzīgi iegūtu līdzekļu legalizācijas un klientu izpētes (AML/KYC) prasību ieviešanā, nodrošinot gan starptautisku normu ievērošanu, gan pakalpojumu sniedzēju vienlīdzīgu attieksmi pret klientiem. Minēto vienoto prasību īstenošanai nepieciešams noteikt arī vienotu tiesību kopumu visiem subjektiem, kam jāīsteno vienādi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esošais regulējums licencētiem patērētāju kreditēšanas sniedzējiem nosaka ievērojami mazāku tiesību apjomu iegūt valsts rīcībā esošo informāciju savu noziedzīgi iegūtu līdzekļu legalizācijas un terorisma un proliferācijas finansēšanas novēršanas funkciju izpildei ar tādiem pat noteikumiem kā šo informāciju iegūst kredītiestādēm un apdrošināšanas komersantiem, ciktāl tie veic dzīvības apdrošināšanas vai citas ar līdzekļu uzkrāšanu saistītas apdrošināšanas darbības, saskaņā ar Noziedzīgi iegūtu līdzekļu legalizācijas un terorisma un proliferācijas finansēšanas novēršanas likuma pirmo un otro daļu. Esošais regulējums ir klaji netaisnīgs pret personām, kuras nodarbojas ar patērētāja kreditēšanu un kuras saskaņā ar Patērētāju tiesību aizsardzības likumu ir saņēmušas speciālo atļauju (licenci) kreditēšanas pakalpojumu sniegšanai. Minēto problēmu Ministru kabinets ir apzinājis jau 2019. gadā, Ministru prezidentam 2019. gada 4. jūlijā izdodot rezolūciju ar uzdevuma numuru 2019-UZD-1152: “Ministru kabinets līdz 2021. gada 1. jūlijam iesniedz Saeimai likumprojektu, kas vienādo šā likuma 5.1 panta otrās daļas un 41. panta otrās daļas nosacījumus informācijas pieejamības nodrošināšanai šā likuma subjektiem no Latvijas Republikas informācijas sistēmām šā likuma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augstāk minēto, iebilstam pret likumprojekta tālāku virzību esošajā redakcijā bez atbilstošiem grozījumiem Noziedzīgi iegūtu līdzekļu legalizācijas un terorisma un proliferācijas finansēšanas novēršanas likuma pirmajā un otrajā daļā. Attiecīgi lūdzam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vārdiem “darbības” ar vārdiem ”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“darbības” ar vārdiem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