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kura Pagaidu regulējuma 61. punkta </w:t>
            </w:r>
            <w:r w:rsidR="00000000" w:rsidRPr="00000000" w:rsidDel="00000000">
              <w:rPr>
                <w:u w:val="single"/>
                <w:rtl w:val="0"/>
              </w:rPr>
              <w:t xml:space="preserve">apakšpunkta</w:t>
            </w:r>
            <w:r w:rsidR="00000000" w:rsidRPr="00000000" w:rsidDel="00000000">
              <w:rPr>
                <w:rtl w:val="0"/>
              </w:rPr>
              <w:t xml:space="preserve"> "iii" apakšpunkts ir pārņemts noteikumu projekta 1.3.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paredzēto regulējumu, lūdzam aizpildīt anotācijas 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Šo noteikumu 11. punktā minēto kopējo garantijas summu atbilstoši saimnieciskās darbības veicēja sniegtajam apliecinājumam var palielināt, lai segtu likviditātes vajadzības, no atbalsta piešķiršanas brīža turpmākajiem 12 mēnešiem sīkajam (mikro), mazajam un vidējam saimnieciskās darbības veicējam un turpmākajiem sešiem mēnešiem lielajam saimnieciskās darbības veicējam, nepārsniedzot šo noteikumu 10. punktā minēto maksimālo aizdevuma summu vienam saimnieciskās darbības veicējam. Ja lielajam saimnieciskās darbības veicējam sniedz finanšu nodrošinājumu tirdzniecības darbībām enerģijas tirgos, garantijas summu var palielināt, lai segtu likviditātes vajadzības, kas izriet no šīm darbībām nākamajos 12 mēnešos. Likviditātes vajadzības, kas segtas atbilstoši normatīvajiem aktiem, ar kuriem tika ieviestas Covid-19 atbalsta programmas, nevar finansēt atkārtoti atbilstoši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precizēt vai anotācijā skaidrot noteikumu 12. punkta 2. teikumu un tā piemērošanu, tostarp lūdzam skaidrot, kas saprotams ar finanšu nodrošinājumu šīs normas izpratnē, kā arī par kādām tirdzniecības darbībām ir runa. Vēršam arī uzmanību, ka nav pilnībā skaidrs, kādos gadījumos normu piemēro un kādi ir kritēriji, lai izlemtu, vai konkrētam saimnieciskās darbības veicējam palielina garantijas summu. Norādām, ka normai jātiek piemērotai vienlīdzīgi. Attiecīgi lūdzam izvērtēt un precizēt vai skaidrot anotācijā. Lūdzam arī precizēt vai anotācijā skaidrot, uz ko attiecināma frāze "nākamajos 12 mēnešos" (proti, uz palielināšanas iespēju, uz likviditātes vajadzību segšanu, vai uz darbībām) - abos teikumos lietoti dažādi formulējumi. Attiecīgi lūdzam precizēt vai skaidrot anotācijā, lai ir skaidra normas piemērošana. Lūdzam arī anotācijā skaidrot izmaiņas 12. punktā attiecībā uz iekšējo atsauci (proti, mainīta atsauce no 13. punkta uz 10.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Maksimālā spēkā esošo garantiju summa nepārsniedz 10 miljonus </w:t>
            </w:r>
            <w:r w:rsidR="00000000" w:rsidRPr="00000000" w:rsidDel="00000000">
              <w:rPr>
                <w:i w:val="1"/>
                <w:rtl w:val="0"/>
              </w:rPr>
              <w:t xml:space="preserve">euro </w:t>
            </w:r>
            <w:r w:rsidR="00000000" w:rsidRPr="00000000" w:rsidDel="00000000">
              <w:rPr>
                <w:rtl w:val="0"/>
              </w:rPr>
              <w:t xml:space="preserve">vienam saimnieciskās darbības veicējam vienlaikus ievērojot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minētos ierobežojumus.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izvērstāk skaidrot noteikumu projekta 1.4. apakšpunktā paredzētās izmaiņas noteikumu 13. punktā, kā arī to atbilstību Komisijas 2022. gada 28. oktobra paziņojumam “Krīzes pagaidu regulējums valsts atbalsta pasākumiem, ar ko atbalsta ekonomiku pēc Krievijas agresijas pret Ukrainu” (C(2022) 7945 final) (turpmāk - Pagaidu regulējums). Vēršam uzmanību, ka nav pilnīgi skaidra izmaiņu nepieciešamība un atbilstība Pagaidu regulējumam, īpaši ņemot vērā Finanšu ministrijas 2022. gada 16. novembra atzinuma 3. un 4. iebildumu par saturiski līdzīgu normu noteikumu projektā "Grozījumi Ministru kabineta 2022. gada 14. jūnija noteikumos Nr. 349 "Noteikumi par aizdevumu programmu pret Ukrainu vērstās Krievijas militārās agresijas radīto ekonomisko seku mazināšanai"" (22-TA-3312), kas šobrīd ir saskaņošanas procesā. Attiecīgi lūdzam izvērtēt un izvērstāk skaidrot izmaiņas vai nepieciešamības gadījumā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29.11.2022. 12.24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29.11.2022. 12.24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Atzinumi_22-TA-3304.docx</dc:title>
</cp:coreProperties>
</file>

<file path=docProps/custom.xml><?xml version="1.0" encoding="utf-8"?>
<Properties xmlns="http://schemas.openxmlformats.org/officeDocument/2006/custom-properties" xmlns:vt="http://schemas.openxmlformats.org/officeDocument/2006/docPropsVTypes"/>
</file>