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Brīvības atņemšanas iestādes iekšējās kārtības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sievietes: matu ieveidošanas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ir iepazinies ar noteikumu projektu Nr.23-TA-1386 “Brīvības atņemšanas iestādes iekšējās kārtības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sniedz sekojošu viedokli. noteikumu projekta “Brīvības atņemšanas iestādes iekšējās kārtības noteikumi ” 45.13.apakšpunktu paredzēts izteikt šādā redakcijā: saņemot brīvības atņemšanas iestādes priekšnieka atļauju, notiesātais var glabāt un dienas kārtībā noteiktajā laikā lietot šādu personisko sadzīves tehniku: sievietes: matu ieveidošanas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informē, ka no noteikumu projekta un anotācijas nav skaidrs, kāpēc tikai sievietes var glabāt un lietot 45.13.apakšpunktā norādīto matu ieveidošanas ierīci, jo matu ieveidošanas ierīces var būt arī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Bērnu aizsardzības centrs aicina Labklājības ministriju izteikt priekšlikumu svītrot vārdu “sievietes”  no noteikumu projekta 45.13.apakšpunkta.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matu ieveidošanas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Sindijs Logins (BAC)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23.07.2025.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23.07.2025.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Atzinumi_23-TA-1386.docx</dc:title>
</cp:coreProperties>
</file>

<file path=docProps/custom.xml><?xml version="1.0" encoding="utf-8"?>
<Properties xmlns="http://schemas.openxmlformats.org/officeDocument/2006/custom-properties" xmlns:vt="http://schemas.openxmlformats.org/officeDocument/2006/docPropsVTypes"/>
</file>