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rezultāta rādītāja vērtību sasniegšanu apliecina finansējuma saņēmējs un sadarbības partneris (ja attiecināms), veicot emisiju aprēķinu atbilstoši atbildīgās iestādes metodiskajiem norādījumiem par aplēstajām siltumnīcefekta gāzu emisijām vai atbilstoši Ministru kabineta 2024.gada 9.jūlija noteikumu nr. 450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 </w:t>
            </w:r>
            <w:r w:rsidR="00000000" w:rsidRPr="00000000" w:rsidDel="00000000">
              <w:rPr>
                <w:rtl w:val="0"/>
              </w:rPr>
              <w:t xml:space="preserve">20.5.2. apakšpunkta</w:t>
            </w:r>
            <w:r w:rsidR="00000000" w:rsidRPr="00000000" w:rsidDel="00000000">
              <w:rPr>
                <w:rtl w:val="0"/>
              </w:rPr>
              <w:t xml:space="preserve"> ietvaros izstrādātajā revitalizācijas dokumentā (turpmāk - revitalizācijas stratēģija) norādītajam aprēķinam.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projektā ietvertās atsauces uz atbildīgās iestādes metodiskajiem norādījumiem, Eiropas Savienības fondu 2021. – 2027. gada un Atveseļošanās fonda komunikācijas un dizaina vadlīnijām u.tml. dokumentiem, ņemot vērā, ka, atbilstoši Ministru kabineta 2009. gada 3. februāra noteikumu Nr. 108 "Normatīvo aktu projektu sagatavošanas noteikumi" 131. punktam, noteikumu projektā ietver atsauces uz citām projekta normām vai tāda paša vai augstāka juridiskā spēka normatīvajiem aktiem. Vēršam uzmanību, ka vadlīnijas, metodikas, rokasgrāmatas u.tml. dokumenti nav juridiski saistoši privātpersonām, bet gan valsts pārvaldei. Ievērojot, ka projekta iesniedzējs var būt arī privātpersona, kurai minētie dokumenti nav saistoši, noteikumu projektā nevar uzlikt par pienākumu tiem ievērot dokumentus, kas tai nav juridiski saistoši.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vadlīniju, metodiku nepieciešamo saturu, ciktāl tas attiecināms uz privātpersonām, pārņemt noteikumu projekta tekstā vai ietvert līgumā par projekta īstenošanu. Alternatīvi lūdzam sniegt pamatotu skaidrojumu par šādu atsauču pieļaujamību.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Mazais un vidējais komersants šo noteikumu izpratnē atbilst regulas Nr. 651/2014 I pielikumam, lielais komersants šo noteikumu izpratnē ir komersants, kas neatbilst regulas Nr. 651/2014 I pielikumā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Lūdzam ievērot minēto, piemēram, noteikumu projekta 36. punktā, kur lūdzam tiešā veidā atsaukties uz attiecīgās regulas 2. panta 2. un 24. punktu, kā arī 73.1.3. apakšpunktā (sk. Eiropas Parlamenta un Padomes 2021.gada 24. jūnija Regulas (ES) Nr. 2021/1060, ar ko paredz kopīgus noteikumus par Eiropas Reģionālās attīstības fondu, Eiropas Sociālo fondu Plus, Kohēzijas fondu, TPF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50. panta 1.  punkta apakšvienības).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Mazais un vidējais komersants šo noteikumu izpratnē ir komersants saskaņā ar regulas Nr.  651/2014 2. panta 2. punktu, lielais komersants šo noteikumu izpratnē ir komersants saskaņā ar regulas Nr.  651/2014 2. panta 24.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anotācijas 5. sadaļu (aizpildīšanā iesakām ievērot "Vadlīnijas tiesību akta projekta sākotnējās ietekmes novērtēšanai un novērtējuma ziņojuma sagatavošanai Vienotajā tiesību aktu izstrādes un saskaņošanas portālā").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skaidrojumiem anotācijas 1.3. apakšsadaļā projekts izpilda arī no Eiropas Komisijas 2025. gada 15. decembra lēmuma C(2025) 8685, ar kuru groza Īstenošanas lēmumu C(2022) 8712 par programmas “Eiropas Savienības kohēzijas politikas programma 2021.–2027. gadam” apstiprināšanu Eiropas Reģionālās attīstības fonda, Kohēzijas fonda, Eiropas Sociālā fonda Plus un Taisnīgas pārkārtošanās fonda atbalsta piešķiršanai saskaņā ar mērķi “Investīcijas nodarbinātībai un izaugsmei” Latvijā (Nr. CCI 2021LV16FFPR001) izrietošo, tādēļ nepieciešams attiecīgi papildināt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2022. gada 14. decembra Regulas (ES) 2022/2472, ar kuru, piemērojot Līguma par Eiropas Savienības darbību 107. un 108. pantu, dažu kategoriju atbalstu lauksaimniecības un mežsaimniecības nozarē un lauku apvidos atzīst par saderīgu ar iekšējo tirgu daļa, 14. panta 7. punkts ieviests noteikumu projekta 63.7. apakšpunktā, 14. punkta 9. punkts -  projekta 63.8. apakšpunktā, 14. punkta 10. punkts - projekta 63.9. apakšpunktā, bet 63.10. apakšpunkta vispār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jāizvērtē visas no ieviestajām Eiropas Savienības tiesību normām izrietošās rīcības brīvības un jāskaidro:  "</w:t>
            </w:r>
            <w:r w:rsidR="00000000" w:rsidRPr="00000000" w:rsidDel="00000000">
              <w:rPr>
                <w:u w:val="single"/>
                <w:rtl w:val="0"/>
              </w:rPr>
              <w:t xml:space="preserve">Kā ir izmantota ES tiesību aktā paredzētā rīcības brīvība dalībvalstij pārņemt vai ieviest noteiktas ES tiesību akta normas? Kādēļ</w:t>
            </w:r>
            <w:r w:rsidR="00000000" w:rsidRPr="00000000" w:rsidDel="00000000">
              <w:rPr>
                <w:rtl w:val="0"/>
              </w:rPr>
              <w:t xml:space="preserve">?". Piemēram, Regulas 2021/1060 50. panta 1. punkta 3. daļa paredz, ka: "Atkāpjoties no pirmās daļas c) un d) apakšpunkta, [..], var noteikt īpašas prasības [..]." vai Eiropas Komisijas 2014. gada 17. jūnija Regulas (ES) Nr. 651/2014, ar ko noteiktas atbalsta kategorijas atzīst par saderīgām ar iekšējo tirgu, piemērojot Līguma 107. un 108. pantu 45. panta 10. punkts paredz "</w:t>
            </w:r>
            <w:r w:rsidR="00000000" w:rsidRPr="00000000" w:rsidDel="00000000">
              <w:rPr>
                <w:i w:val="1"/>
                <w:rtl w:val="0"/>
              </w:rPr>
              <w:t xml:space="preserve">Atbalsta intensitāti ieguldījumiem bioloģiskās daudzveidības aizsardzībā vai atjaunošanā un dabā balstīto risinājumu īstenošanā nolūkā panākt klimatadaptāciju un klimata pārmaiņu mazināšanu </w:t>
            </w:r>
            <w:r w:rsidR="00000000" w:rsidRPr="00000000" w:rsidDel="00000000">
              <w:rPr>
                <w:i w:val="1"/>
                <w:u w:val="single"/>
                <w:rtl w:val="0"/>
              </w:rPr>
              <w:t xml:space="preserve">var palielināt par 20 procentpunktiem</w:t>
            </w:r>
            <w:r w:rsidR="00000000" w:rsidRPr="00000000" w:rsidDel="00000000">
              <w:rPr>
                <w:i w:val="1"/>
                <w:rtl w:val="0"/>
              </w:rPr>
              <w:t xml:space="preserve"> atbalstam, ko piešķir maziem uzņēmumiem, </w:t>
            </w:r>
            <w:r w:rsidR="00000000" w:rsidRPr="00000000" w:rsidDel="00000000">
              <w:rPr>
                <w:i w:val="1"/>
                <w:u w:val="single"/>
                <w:rtl w:val="0"/>
              </w:rPr>
              <w:t xml:space="preserve">un par 10 procentpunktiem</w:t>
            </w:r>
            <w:r w:rsidR="00000000" w:rsidRPr="00000000" w:rsidDel="00000000">
              <w:rPr>
                <w:i w:val="1"/>
                <w:rtl w:val="0"/>
              </w:rPr>
              <w:t xml:space="preserve"> atbalstam, ko piešķir vidējiem uzņēmumiem.</w:t>
            </w:r>
            <w:r w:rsidR="00000000" w:rsidRPr="00000000" w:rsidDel="00000000">
              <w:rPr>
                <w:rtl w:val="0"/>
              </w:rPr>
              <w:t xml:space="preserve">", bet 9. panta 1. punkts "</w:t>
            </w:r>
            <w:r w:rsidR="00000000" w:rsidRPr="00000000" w:rsidDel="00000000">
              <w:rPr>
                <w:i w:val="1"/>
                <w:rtl w:val="0"/>
              </w:rPr>
              <w:t xml:space="preserve">Alternatīvi – iesaistītās dalībvalstis </w:t>
            </w:r>
            <w:r w:rsidR="00000000" w:rsidRPr="00000000" w:rsidDel="00000000">
              <w:rPr>
                <w:i w:val="1"/>
                <w:u w:val="single"/>
                <w:rtl w:val="0"/>
              </w:rPr>
              <w:t xml:space="preserve">var nolemt,</w:t>
            </w:r>
            <w:r w:rsidR="00000000" w:rsidRPr="00000000" w:rsidDel="00000000">
              <w:rPr>
                <w:i w:val="1"/>
                <w:rtl w:val="0"/>
              </w:rPr>
              <w:t xml:space="preserve"> ka katra no tām informāciju par savā teritorijā īstenojamajiem atbalsta pasākumiem sniedz savā attiecīgajā tīmekļa vietnē</w:t>
            </w:r>
            <w:r w:rsidR="00000000" w:rsidRPr="00000000" w:rsidDel="00000000">
              <w:rPr>
                <w:rtl w:val="0"/>
              </w:rPr>
              <w:t xml:space="preserve">."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Maksimālais attiecināmais Taisnīgas pārkārtošanās fonda finansējuma apmērs nepārsniedz: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noteikumu projekta 42. punktu kontekstā ar 14. punktā noteikto, nodrošinot korektu, viennozīmīgu un nepārprotamu projekta redakciju. Vēršam uzmanību, ka, atbilstoši 42.2. apakšpunktam "</w:t>
            </w:r>
            <w:r w:rsidR="00000000" w:rsidRPr="00000000" w:rsidDel="00000000">
              <w:rPr>
                <w:i w:val="1"/>
                <w:rtl w:val="0"/>
              </w:rPr>
              <w:t xml:space="preserve">īstenojot </w:t>
            </w:r>
            <w:r w:rsidR="00000000" w:rsidRPr="00000000" w:rsidDel="00000000">
              <w:rPr>
                <w:i w:val="1"/>
                <w:u w:val="single"/>
                <w:rtl w:val="0"/>
              </w:rPr>
              <w:t xml:space="preserve">meliorācijas sistēmu izbūv</w:t>
            </w:r>
            <w:r w:rsidR="00000000" w:rsidRPr="00000000" w:rsidDel="00000000">
              <w:rPr>
                <w:i w:val="1"/>
                <w:rtl w:val="0"/>
              </w:rPr>
              <w:t xml:space="preserve">i</w:t>
            </w:r>
            <w:r w:rsidR="00000000" w:rsidRPr="00000000" w:rsidDel="00000000">
              <w:rPr>
                <w:i w:val="1"/>
                <w:u w:val="single"/>
                <w:rtl w:val="0"/>
              </w:rPr>
              <w:t xml:space="preserve">, atjaunošanu vai pārbūvi un ar to saistīto meža ieaudzēšanu un meža agrotehnisko kopšanu</w:t>
            </w:r>
            <w:r w:rsidR="00000000" w:rsidRPr="00000000" w:rsidDel="00000000">
              <w:rPr>
                <w:i w:val="1"/>
                <w:rtl w:val="0"/>
              </w:rPr>
              <w:t xml:space="preserve">, atbalsta likme nepārsniedz 80 procentus no projekta kopējā attiecināmā finansējuma</w:t>
            </w:r>
            <w:r w:rsidR="00000000" w:rsidRPr="00000000" w:rsidDel="00000000">
              <w:rPr>
                <w:rtl w:val="0"/>
              </w:rPr>
              <w:t xml:space="preserve">.", tomēr 14.2.apakšpunkts paredz, ka, īstenojot šo noteikumu 23.2. (</w:t>
            </w:r>
            <w:r w:rsidR="00000000" w:rsidRPr="00000000" w:rsidDel="00000000">
              <w:rPr>
                <w:u w:val="single"/>
                <w:rtl w:val="0"/>
              </w:rPr>
              <w:t xml:space="preserve">meža ieaudzēšana un agrotehniskā kopšana</w:t>
            </w:r>
            <w:r w:rsidR="00000000" w:rsidRPr="00000000" w:rsidDel="00000000">
              <w:rPr>
                <w:rtl w:val="0"/>
              </w:rPr>
              <w:t xml:space="preserve">) un 23.3. (meža ieaudzēšanai nepieciešamās ūdens līmeņa regulācijas, tostarp </w:t>
            </w:r>
            <w:r w:rsidR="00000000" w:rsidRPr="00000000" w:rsidDel="00000000">
              <w:rPr>
                <w:u w:val="single"/>
                <w:rtl w:val="0"/>
              </w:rPr>
              <w:t xml:space="preserve">meliorācijas sistēmas izbūve, atjaunošana vai pārbūve</w:t>
            </w:r>
            <w:r w:rsidR="00000000" w:rsidRPr="00000000" w:rsidDel="00000000">
              <w:rPr>
                <w:rtl w:val="0"/>
              </w:rPr>
              <w:t xml:space="preserve">) apakšpunktā minētās darbības, nepārsniedz 95 procentus.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ceturtās un piektās atlases kārtas ietvaros atbalstāma ir šādu darbību veikšana šo noteikumu </w:t>
            </w:r>
            <w:r w:rsidR="00000000" w:rsidRPr="00000000" w:rsidDel="00000000">
              <w:rPr>
                <w:rtl w:val="0"/>
              </w:rPr>
              <w:t xml:space="preserve">3. </w:t>
            </w:r>
            <w:r w:rsidR="00000000" w:rsidRPr="00000000" w:rsidDel="00000000">
              <w:rPr>
                <w:rtl w:val="0"/>
              </w:rPr>
              <w:t xml:space="preserve">punkta</w:t>
            </w:r>
            <w:r w:rsidR="00000000" w:rsidRPr="00000000" w:rsidDel="00000000">
              <w:rPr>
                <w:rtl w:val="0"/>
              </w:rPr>
              <w:t xml:space="preserve"> minētajās teritorijās saskaņā ar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minētajām revitalizācijas stratēģijām vai atzinumiem, kas tiek segtas saskaņā ar atbildīgās iestādes apstiprināto un vadošās iestādes saskaņoto vienas vienības izmaksu likmju aprēķina un piemērošanas metodiku (turpmāk -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26. punktā un 23. punktā (iepriekš 22. punkts) noteikto, ņemot vērā, ka pretēji izziņas 26. punktā skaidrotajam noteikumu projekta 23. punktā (iepriekš 22. punktā) ne tikai uzskaitītas atbalstāmās darbības, bet arī norādīts, ka tās tiek segtas saskaņā ar konkrēto metodiku un arī 26. punkts nosaka, ka attiecināmās izmaksas nosaka un izmaksā saskaņā ar atbildīgās iestādes apstiprināto un vadošās iestādes saskaņoto metodiku. Papildus lūdzam ievērot 23. punktā pieteikto saīsinājumu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saņemšanas nosacījumi un komercdarbības atbalsta regulējums, īstenojot meža ieaudzēšanu, meža ūdens līmeņa regulācijas, tostarp meliorācijas sistēmas izveidi, atjaunošanu vai pārbūvi un ieaudzētā meža agrotehnisko kopšanu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noteikumu projektā lietot konsekventus, vienveidīgus formulējumus. Piemēram, no noteikumu projekta izriet atbalstāmā darbība "ūdens līmeņa regulācijas tostarp meliorācijas sistēmas </w:t>
            </w:r>
            <w:r w:rsidR="00000000" w:rsidRPr="00000000" w:rsidDel="00000000">
              <w:rPr>
                <w:u w:val="single"/>
                <w:rtl w:val="0"/>
              </w:rPr>
              <w:t xml:space="preserve">izbūve</w:t>
            </w:r>
            <w:r w:rsidR="00000000" w:rsidRPr="00000000" w:rsidDel="00000000">
              <w:rPr>
                <w:rtl w:val="0"/>
              </w:rPr>
              <w:t xml:space="preserve">, atjaunošana vai pārbūve", nevis "ūdens līmeņa regulācijas tostarp meliorācijas sistēmas </w:t>
            </w:r>
            <w:r w:rsidR="00000000" w:rsidRPr="00000000" w:rsidDel="00000000">
              <w:rPr>
                <w:u w:val="single"/>
                <w:rtl w:val="0"/>
              </w:rPr>
              <w:t xml:space="preserve">izveide</w:t>
            </w:r>
            <w:r w:rsidR="00000000" w:rsidRPr="00000000" w:rsidDel="00000000">
              <w:rPr>
                <w:rtl w:val="0"/>
              </w:rPr>
              <w:t xml:space="preserve">, atjaunošana vai pārbūve" u.tml. Atbilstoši izziņas 31. punktam ir veiktas izmaiņas nodaļas nosaukumā, kas no noteikumu projekta neizriet.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un sadarbības partneris (ja attiecināms), lai saņemtu izmaksu par meža ieaudzēšanu un/vai agrotehnisko kopšanu, saskaņā ar metodiku sagatavo un, izmantojot Meža valsts reģistra ģeogrāfiskās informācijas sistēmu, Valsts meža dienestā iesniedz pārskatu par veikto meža ieaudzēšanu, ieaudzētā meža agrotehnisko kopšanu, kam attiecībā uz meža ieaudzēšanu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formulējuma "un/vai" lietojumu. Vēršam uzmanību, ka tā vietā atbilstoši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lietojams saiklis "un" vai saiklis "vai"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saiklis "un" ir kumulatīvs nosacījums, kura lietošanas gadījumā ir jāiestājas visiem attiecināmajiem priekšnosacījumiem;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ar simbola "/" vietā lietojams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 izmaksas par tehnikas un iekārtu iegādi virszemes pretsalnas aizsardzībai (pretsalnas laistīšana, gaisa maisīšanas torņi, miglas ģeneratori), pilienu laistīšanai ar precīzu mēslojuma un augu aizsardzības līdzekļu lietojumu (ūdens padeves un spiediena nodrošināšanas iekārtas, filtrācijas iekārtās, caurules, individuālie pilinātāji, vadības un automatizācijas iekārtas, mēslojuma dozatori u.c.) un krusas aizsargtīkliem;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kur iespējams, izvairīties no skaidrojuma sniegšanas iekavās un pieturzīmi iekavas aizstāt ar pieturzīmi komats.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ilggadīgo stādu piemēram, krūmmelleņu, parastās niedres un augu pavairojamā materiāla, piemēram lielogu dzērveņu stīgu, izmaksas, kā arī purva videi raksturīgo augu donormateriāla ievākšanas izmaksas donorteritorijās un to reintrodukcijas (izkliedēšanas) un transportēšanas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noteikumu projektu un izvairīties tajā no sinonīmu lietošanas, piemēram "reintrodukcija (izkliedēšana)". Norādām, ka atbilstoši juridiskās tehnikas prasībām normatīvajā aktā nelieto sinonīmus, vienu lietu konsekventi sauc vienā un tajā pašā vārdā un sinonīma lietošana iekavās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Lauksaimniecībā izmantojamai zemei, kas atrodas īpaši jutīgajā teritorijā, mēslošanas plānu izstrādā saskaņā ar normatīvajiem aktiem par ūdens un augsnes aizsardzību no lauksaimnieciskās darbības izraisīta piesārņojuma.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atkārtoti aicinām noteikumu projektā nodrošināt precīzas, korektas atsauces uz normatīvajiem aktiem vai to jomu. Piemēram, noteikumu projekta 61. punktā būtu norādāms nevis "normatīvie akti par ūdens un augsnes aizsardzību no lauksaimnieciskās darbības izraisīta piesārņojuma", bet "normatīvie akti par prasībām ūdens, augsnes un gaisa aizsardzībai no lauksaimnieciskās darbības izraisīta piesārņojuma". Tāpat aicinām atsaukties uz noteikumiem par meža atjaunošanu, meža ieaudzēšanu un plantāciju mežu atbilstoši spēkā esošajiem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papildu komercdarbības atbalsts tiek piešķirts projekta īstenošanas laikā ar regulas nr. 651/2014 45. panta 2. punkta "c" un "d" apakšpunktu, par atbalsta piešķiršanas brīdi uzskata dienu, kad tiek parakstīti attiecīgie civiltiesiskā līguma vai vienošanās par projekta īstenošanu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un papildināt noteikumu projekta 83. punktu ar vārdu "saskaņā".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papildu komercdarbības atbalsts tiek piešķirts projekta īstenošanas laikā </w:t>
            </w:r>
            <w:r w:rsidR="00000000" w:rsidRPr="00000000" w:rsidDel="00000000">
              <w:rPr>
                <w:u w:val="single"/>
                <w:rtl w:val="0"/>
              </w:rPr>
              <w:t xml:space="preserve">saskaņā </w:t>
            </w:r>
            <w:r w:rsidR="00000000" w:rsidRPr="00000000" w:rsidDel="00000000">
              <w:rPr>
                <w:rtl w:val="0"/>
              </w:rPr>
              <w:t xml:space="preserve">ar regulas nr. 651/2014 45. panta 2. punkta "c" un "d" apakšpunktu, par atbalsta piešķiršanas brīdi uzskata dienu, kad tiek parakstīti attiecīgie civiltiesiskā līguma vai vienošanās par projekta īstenošanu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precīzi atspoguļot no noteikumu projekta izrietošo,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ir svītrots nosacījums par to, ka piektajā atlases kārtā īstenojot ilggadīgo stādījumu izveidi komercdarbības atbalstu piešķir, ja ir ievēroti regulas Nr. 2022/2472 14. panta 6.punkta "f" apakšpunkta "iv" apakšpunktā ietvertie nosacījumi (iepriekš projekta 65.7. apakšpunkts), bet skaidrojums anotācijā ir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skaidrojums par noteikumu projekta 33.7. apakšpunktu tiek svītrots, tomēr projektā šī vienība ir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no Ministru kabineta 2023. gada 25. aprīļa noteikumu Nr. 205 "Valsts budžeta līdzekļu plānošanas kārtība Eiropas Savienības fondu projektu īstenošanai un maksājumu veikšanai 2021.–2027. gada plānošanas periodā" 10. punkta atšķirīgu maksimālo avansa apjomu, lūdzam to anotācijā pamatot.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tiek atbalstīta Taisnīgas pārkārtošanās fonda finansējuma novirzīšana 128 672 euro apmērā 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projektu iesniegumu atlases otrās kārtas (turpmāk – 6.1.1.1. pasākuma otrā kārta) uz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piekto projektu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"Atbalstīt Taisnīgas pārkārtošanās fonda finansējuma novirzīšanu</w:t>
            </w:r>
            <w:r w:rsidR="00000000" w:rsidRPr="00000000" w:rsidDel="00000000">
              <w:rPr>
                <w:rtl w:val="0"/>
              </w:rPr>
              <w:t xml:space="preserve"> 128 672 euro apmērā no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projektu iesniegumu atlases otrās kārtas (turpmāk – 6.1.1.1. pasākuma otrā kārta) uz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piekto projektu iesniegumu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23.01.2026.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23.01.2026.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