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117.</w:t>
            </w:r>
            <w:r w:rsidR="00000000" w:rsidRPr="00000000" w:rsidDel="00000000">
              <w:rPr>
                <w:vertAlign w:val="superscript"/>
                <w:rtl w:val="0"/>
              </w:rPr>
              <w:t xml:space="preserve">5</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arī 117.</w:t>
            </w:r>
            <w:r w:rsidR="00000000" w:rsidRPr="00000000" w:rsidDel="00000000">
              <w:rPr>
                <w:vertAlign w:val="superscript"/>
                <w:rtl w:val="0"/>
              </w:rPr>
              <w:t xml:space="preserve">5</w:t>
            </w:r>
            <w:r w:rsidR="00000000" w:rsidRPr="00000000" w:rsidDel="00000000">
              <w:rPr>
                <w:rtl w:val="0"/>
              </w:rPr>
              <w:t xml:space="preserve"> panta piektā daļa ir izteikta jaunā redakcijā. Vienlaikus vēršam uzmanību, ka ceturtajā daļā noteiktais “ar izcelsmes apliecinājuma izdošanu un citām ar izcelsmes apliecinājumu reģistra darbībām saistīto izmaksu kompensēšanai” ietver arī tās izmaksas, kas saistītas ar  gāzes izcelsmes apliecinājumu elektroniskās sistēmas ieviešanu un uzturēšanu, un attiecīgi šo izmaksu kompensēšanai  vienotais dabasgāzes pārvades un uzglabāšanas sistēmas operators var prasīt maksu. Arī gāzes izcelsmes apliecinājumu elektroniskās sistēmas ieviešana un tās uzturēšana ir daļa no kopējām izmaksām, kas tieši saistītas ar izcelsmes apliecinājuma izdošanu (izcelsmes apliecinājuma reģistrs, tā izveidošana un uzturēšana, citas darbības). Tādēļ, lai izvairītos no iespējamām pretrunām, interpretējot minētā panta ceturto un piekto daļu, Regulators rosina skaidrot anotācijā un precizēt, kas ir domāts ar formulējumu “attiecināmās izmaksas”, lai būtu viennozīmīgi skaidrs, tieši kuras no izmaksām tiek attiecinātas uz tarifiem, un kuras izmaksas segs  komersanti, kuriem izdos izcelsmes apliecinājumus, kā arī to, kā tiks kompensēta piemērotā atlaide 50 procentu apmērā iekārtām, kuru jauda ir mazāka par 50 kilovatiem (kW) un atjaunīgās enerģijas kopienām maksai par izcelsmes apliecinājuma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vērš uzmanību, ka atbilstoši Enerģētikas likuma 1.panta pirmās daļas 5</w:t>
            </w:r>
            <w:r w:rsidR="00000000" w:rsidRPr="00000000" w:rsidDel="00000000">
              <w:rPr>
                <w:vertAlign w:val="superscript"/>
                <w:rtl w:val="0"/>
              </w:rPr>
              <w:t xml:space="preserve">1</w:t>
            </w:r>
            <w:r w:rsidR="00000000" w:rsidRPr="00000000" w:rsidDel="00000000">
              <w:rPr>
                <w:rtl w:val="0"/>
              </w:rPr>
              <w:t xml:space="preserve">) punktam dabasgāzes ražotājs — fiziskā vai juridiskā persona, kura iegūst dabasgāzi, izņemot sašķidrināto dabasgāzi, lai to ievadītu nacionālajā dabasgāzes ieejas-izejas sistēmā, izmantojot pieslēgumu sistēmai vai dabasgāzes pārvades sistēmas ieejas punktu no atjaunīgajiem energoresursiem saražotā vai iegūtā gāzveida kurināmā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02.12.2024.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02.12.2024.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