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Atbalstu nepiešķir , ja atbalsta saņēmējs darbojas kādā no šīm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piedāvātās izmaiņas atbalsta pasākuma ietvaros, paredzot atbalstu arī lauksaimniekiem, nekavēs atbalsta pasākuma ieviešanu. Atkārtoti vēršam uzmanību pārskatīt noteikumu projekta 18. punkta redakciju un tā tvērumu, svītrojot 18.4. apakšpunktu, lai neizslēgtu lauksaimniecības nozari no atbalsta saņēmēju loka. Regulas 651/2014 1. panta 3. punkta b) apakšpunkts pieļauj piešķirt vides atbalstu (Regulas 651/2014 38., 38.a un 41. pants) lauksaimniecības nozarei. Lai atbalstu varētu saņemt arī lauksaimnieki, nepieciešams tikai svītrot noteikumu projekta 18.4.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18.4.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05.02.2025.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05.02.2025.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