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Uzņēmumu ienākuma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pants. Nodokļa piemaksa kredītiestādēm un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Neatkarīgi no šā likuma 4.panta otrās daļas 1.punkta noteikumiem, kredītiestādes vai patērētāju kreditēšanas pakalpojumu sniedzēji, kuri ir šā likuma 2.panta pirmās daļas 1.punktā minētie iekšzemes uzņēmumi un 2.panta pirmās daļas 2.punktā minētās pastāvīgās pārstāvniecības, taksācijas gadā veic nodokļa piemaksu.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piemērošanai taksācijas gads ir pārskata gads, kurā šā panta pirmajā daļā minētajiem iekšzemes uzņēmumiem Valsts ieņēmumu dienestam jāiesniedz  pirmstaksācijas gada uzņēmumu gada pārskats vai šā panta pirmajā daļā minētājām pastāvīgajām pārstāvniecībām jāiesniedz pirmstaksācijas gada peļņas vai zaudējumu aprēķins, kas sagatavots atbilstoši šā likuma 4.panta divpadsmitajai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pirmajā daļā minētais nodokļa maksātājs, ne vēlāk kā četru mēnešu laikā pēc pirmstaksācijas gada uzņēmumu gada pārskata iesniegšanas termiņa, iesniedz Valsts ieņēmumu dienesta elektroniskajā deklarēšanas sistēmā taksācijas gada nodokļa piemaksas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Taksācijas gada nodokļa piemaksas aprēķinā iekļauj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taksācijas gads par kuru tiek veikts nodokļa piemaksas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pirmstaksācijas gada peļņas vai zaudējumu aprēķina summa pēc nodokļiem;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pirmstaksācijas gada peļņas vai zaudējumu aprēķinā norādītā ienākuma daļa, par kuru nodokļa maksātājs turpmāk ir tiesīgs samazināt ar nodokli apliekamajā bāzē iekļauto dividenžu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nodokli apliekamā summa, kas aprēķināta no šīs daļas 2.punktā minētās summas atņemot šīs daļas 3.punktā minēto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aprēķinātā nodokļa piemaksas summa, kas aprēķināta šīs daļas 4.punktā noteiktajai summai piemērojot 20 procentu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samaksātā nodokļa summa par taksācijas gadā aprēķināto šā likuma 4.panta otrās daļas 1.punktā minēto ar nodokli apliekamo objektu (izņemot ārkārtas dividendes);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budžetā maksājamā nodokļa piemaksas summa, kas aprēķināta no šīs daļas 5.punktā aprēķinātās summas atņemot šīs daļas 6.punktā aprēķināto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panta ceturtās daļas 7.punktā maksājamo nodokļa piemaksas summu iemaksā vienotajā nodokļu kontā līdz mēneša, kas seko mēnesim, kurā iesniegts taksācijas gada nodokļa piemaksas aprēķins, 23.datumam.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Piemērojot šā panta ceturto daļu, nodokļa piemaksas aprēķinā neietver nodokļa maksātāja ārvalsts pastāvīgās pārstāvniecības finanšu datus, ja tās ieņēmumi un izdevumi tiek uzskaitīti dalīti un pastāvīgā pārstāvniecība ārvalstī maksā nodokli par tās gūto ienākumu."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Uzņēmumu ienākuma nodokļa likumā (turpmāk – likums) nav paredzēts, ka kādu dokumentu iesniedz Valsts ieņēmumu dienesta elektroniskajā deklarēšanas sistēmā. Līdz ar to nav skaidrs, kādēļ likumprojektā "Grozījumi Uzņēmumu ienākuma nodokļa likumā" (turpmāk – projekts) paredzētajā likuma 4.</w:t>
            </w:r>
            <w:r w:rsidR="00000000" w:rsidRPr="00000000" w:rsidDel="00000000">
              <w:rPr>
                <w:vertAlign w:val="superscript"/>
                <w:rtl w:val="0"/>
              </w:rPr>
              <w:t xml:space="preserve">1</w:t>
            </w:r>
            <w:r w:rsidR="00000000" w:rsidRPr="00000000" w:rsidDel="00000000">
              <w:rPr>
                <w:rtl w:val="0"/>
              </w:rPr>
              <w:t xml:space="preserve"> panta trešajā daļā noteikts, ka taksācijas gada uzņēmumu ienākuma nodokļa piemaksas aprēķinu iesniedz Valsts ieņēmumu dienesta elektroniskajā deklarēšanas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paredzētajā likuma 4.</w:t>
            </w:r>
            <w:r w:rsidR="00000000" w:rsidRPr="00000000" w:rsidDel="00000000">
              <w:rPr>
                <w:vertAlign w:val="superscript"/>
                <w:rtl w:val="0"/>
              </w:rPr>
              <w:t xml:space="preserve">1</w:t>
            </w:r>
            <w:r w:rsidR="00000000" w:rsidRPr="00000000" w:rsidDel="00000000">
              <w:rPr>
                <w:rtl w:val="0"/>
              </w:rPr>
              <w:t xml:space="preserve"> panta trešajā daļā ietverto regulējumu vai papildināt projekta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1.3. apakšsadaļu ar skaidrojumu, kādēļ vienā likuma tiesību normā nepieciešams norādīt, ka attiecīgo dokumentu iesniedz Valsts ieņēmumu dienesta elektroniskajā deklarēšanas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projekts paredz papildināt likumu ar jaunu maksājumu, proti, uzņēmumu ienākuma nodokļa piemaksu kredītiestādēm un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Satversmes tiesa jau norādījusi, ka valstij, nosakot un realizējot savu nodokļu politiku, ir plaša rīcības brīvība. Tajā ietilpst tiesības izvēlēties, kādas nodokļu likmes un kādām personu kategorijām paredzamas, kā arī tiesības noteikt attiecīgā regulējuma detaļas. Tomēr </w:t>
            </w:r>
            <w:r w:rsidR="00000000" w:rsidRPr="00000000" w:rsidDel="00000000">
              <w:rPr>
                <w:u w:val="single"/>
                <w:rtl w:val="0"/>
              </w:rPr>
              <w:t xml:space="preserve">nodokļu regulējumam ir jābūt pamatotam ar objektīviem un racionāliem apsvērumiem. </w:t>
            </w:r>
            <w:r w:rsidR="00000000" w:rsidRPr="00000000" w:rsidDel="00000000">
              <w:rPr>
                <w:rtl w:val="0"/>
              </w:rPr>
              <w:t xml:space="preserve">Likumdevēja izšķiršanās par to, kāds nodoklis būtu samērīgs un nepieciešams, ir politikas un lietderības jautājums </w:t>
            </w:r>
            <w:r w:rsidR="00000000" w:rsidRPr="00000000" w:rsidDel="00000000">
              <w:rPr>
                <w:i w:val="1"/>
                <w:rtl w:val="0"/>
              </w:rPr>
              <w:t xml:space="preserve">(sk., piemēram, Satversmes tiesas 2008. gada 30. aprīļa sprieduma lietā Nr. 2007-23-01 7. un 11.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jau iepriekš ir norādījusi: vērtējot kādas tiesību normas atbilstību Latvijas Republikas Satversmes 91. panta pirmajam teikumam, ir jāņem vērā arī tas apstāklis, ka minētajā pantā nostiprinātās tiesības ir "salīdzinošas", proti, tās var pieprasīt vienlīdzīgu attieksmi, bet pašas par sevi nevar atklāt, kādai, proti, labvēlīgai vai nelabvēlīgai, šai attieksmei jābūt </w:t>
            </w:r>
            <w:r w:rsidR="00000000" w:rsidRPr="00000000" w:rsidDel="00000000">
              <w:rPr>
                <w:i w:val="1"/>
                <w:rtl w:val="0"/>
              </w:rPr>
              <w:t xml:space="preserve">(sk. Satversmes tiesas 2006. gada 8. novembra sprieduma lietā Nr. 2006-04-01 15.1. apakšpunktu)</w:t>
            </w:r>
            <w:r w:rsidR="00000000" w:rsidRPr="00000000" w:rsidDel="00000000">
              <w:rPr>
                <w:rtl w:val="0"/>
              </w:rPr>
              <w:t xml:space="preserve">. Tādējādi jāizmanto citi apsvērumi, kas atrodas ārpus tiesiskās vienlīdzības principa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kas paredz personai pienākumu maksāt nodokli, ietilpst Latvijas Republikas Satversmes 105. pantā noteikto pamattiesību tvērumā. </w:t>
            </w:r>
            <w:r w:rsidR="00000000" w:rsidRPr="00000000" w:rsidDel="00000000">
              <w:rPr>
                <w:u w:val="single"/>
                <w:rtl w:val="0"/>
              </w:rPr>
              <w:t xml:space="preserve">Nodokļa maksāšanas pienākums vienmēr nozīmē īpašumtiesību ierobežojumus, kā arī var būt saistīts ar citiem likumā noteiktiem ierobežojumiem, kuriem jābūt samērīgiem ar leģitīmo mērķi – konstitucionāli nozīmīgu vērtību aizsardzību</w:t>
            </w:r>
            <w:r w:rsidR="00000000" w:rsidRPr="00000000" w:rsidDel="00000000">
              <w:rPr>
                <w:rtl w:val="0"/>
              </w:rPr>
              <w:t xml:space="preserve"> </w:t>
            </w:r>
            <w:r w:rsidR="00000000" w:rsidRPr="00000000" w:rsidDel="00000000">
              <w:rPr>
                <w:i w:val="1"/>
                <w:rtl w:val="0"/>
              </w:rPr>
              <w:t xml:space="preserve">(sk. Satversmes tiesas 2007. gada 11. aprīļa sprieduma lietā Nr. 2006-28-01 19.1. apakšpunktu, 2007. gada 8. jūnija sprieduma lietā Nr. 2007-01-01 19. punktu un 2008. gada 3. aprīļa sprieduma lietā Nr. 2007-23-01 6.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Lai izvērtētu Latvijas Republikas Satversmes 105. panta pirmajā teikumā noteikto pamattiesību ierobežojuma konstitucionalitāti, jānoskaidro, vai:</w:t>
            </w:r>
            <w:r w:rsidR="00000000" w:rsidRPr="00000000" w:rsidDel="00000000">
              <w:rPr>
                <w:u w:val="single"/>
                <w:rtl w:val="0"/>
              </w:rPr>
              <w:t xml:space="preserve">1) pamattiesību ierobežojums ir noteikts ar likumu;</w:t>
            </w:r>
            <w:r w:rsidR="00000000" w:rsidRPr="00000000" w:rsidDel="00000000">
              <w:rPr>
                <w:u w:val="single"/>
                <w:rtl w:val="0"/>
              </w:rPr>
              <w:t xml:space="preserve">2) ierobežojumam ir leģitīms mērķis;</w:t>
            </w:r>
            <w:r w:rsidR="00000000" w:rsidRPr="00000000" w:rsidDel="00000000">
              <w:rPr>
                <w:u w:val="single"/>
                <w:rtl w:val="0"/>
              </w:rPr>
              <w:t xml:space="preserve">3) ierobežojums ir samērīgs ar tā leģitīmo mērķi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regulējums, kas paredz kāda nodokļa maksāšanu, ir jāvērtē kā tāds, kas veido būtisku valsts budžeta ienākumu daļu </w:t>
            </w:r>
            <w:r w:rsidR="00000000" w:rsidRPr="00000000" w:rsidDel="00000000">
              <w:rPr>
                <w:i w:val="1"/>
                <w:rtl w:val="0"/>
              </w:rPr>
              <w:t xml:space="preserve">(sk. Satversmes tiesas 2007. gada 8. jūnija sprieduma lietā Nr. 2007-01-01 22. punktu un 2010. gada 6. decembra sprieduma lietā Nr. 2010-25-01 7.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w:t>
            </w:r>
            <w:r w:rsidR="00000000" w:rsidRPr="00000000" w:rsidDel="00000000">
              <w:rPr>
                <w:u w:val="single"/>
                <w:rtl w:val="0"/>
              </w:rPr>
              <w:t xml:space="preserve">lai izvērtētu, vai attiecīgais regulējums atbilst Latvijas Republikas Satversmes 91. panta pirmajā teikumā ietvertajam vienlīdzības principam, ir nepieciešams noskaidrot:</w:t>
            </w:r>
            <w:r w:rsidR="00000000" w:rsidRPr="00000000" w:rsidDel="00000000">
              <w:rPr>
                <w:u w:val="single"/>
                <w:rtl w:val="0"/>
              </w:rPr>
              <w:t xml:space="preserve">1) vai un kuras personas (personu grupas) atrodas vienādos un pēc noteiktiem kritērijiem salīdzināmos apstākļos;</w:t>
            </w:r>
            <w:r w:rsidR="00000000" w:rsidRPr="00000000" w:rsidDel="00000000">
              <w:rPr>
                <w:u w:val="single"/>
                <w:rtl w:val="0"/>
              </w:rPr>
              <w:t xml:space="preserve">2) vai apstrīdētās normas paredz vienādu vai atšķirīgu attieksmi pret šīm personām;</w:t>
            </w:r>
            <w:r w:rsidR="00000000" w:rsidRPr="00000000" w:rsidDel="00000000">
              <w:rPr>
                <w:u w:val="single"/>
                <w:rtl w:val="0"/>
              </w:rPr>
              <w:t xml:space="preserve">3) vai šādai attieksmei ir objektīvs un saprātīgs pamats, proti, vai tai ir leģitīms mērķis, un vai ir ievērots samērīguma princips </w:t>
            </w:r>
            <w:r w:rsidR="00000000" w:rsidRPr="00000000" w:rsidDel="00000000">
              <w:rPr>
                <w:i w:val="1"/>
                <w:rtl w:val="0"/>
              </w:rPr>
              <w:t xml:space="preserve">(sk. Satversmes tiesas 2010. gada 20. maija sprieduma lietā Nr. 2010-70-01 18.1. apakšpunktu)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papildināt anotācijas 1.3. apakšsadaļu ar attiecīgu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Latvijas Republikas Satversmes 110. pants noteic, ka </w:t>
            </w:r>
            <w:r w:rsidR="00000000" w:rsidRPr="00000000" w:rsidDel="00000000">
              <w:rPr>
                <w:u w:val="single"/>
                <w:rtl w:val="0"/>
              </w:rPr>
              <w:t xml:space="preserve">valsts aizsargā un atbalsta laulību – savienību starp vīrieti un sievieti, ģimeni, vecāku un bērna tiesības. Valsts īpaši palīdz bērniem invalīdiem, bērniem, kas palikuši bez vecāku gādības vai cietuši no varmācības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nav skaidrs, kādēļ anotācijas 2.2.3. apakšsadaļā ietverta atsauce uz Latvijas Republikas Satversmes 110. pantu. Atbilstoši minētajam lūdzam precizēt anotācijas 2.2.3.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pants. Nodokļa piemaksa kredītiestādēm un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Neatkarīgi no šā likuma 4.panta otrās daļas 1.punkta noteikumiem, kredītiestādes vai patērētāju kreditēšanas pakalpojumu sniedzēji, kuri ir šā likuma 2.panta pirmās daļas 1.punktā minētie iekšzemes uzņēmumi un 2.panta pirmās daļas 2.punktā minētās pastāvīgās pārstāvniecības, taksācijas gadā veic nodokļa piemaksu.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piemērošanai taksācijas gads ir pārskata gads, kurā šā panta pirmajā daļā minētajiem iekšzemes uzņēmumiem Valsts ieņēmumu dienestam jāiesniedz  pirmstaksācijas gada uzņēmumu gada pārskats vai šā panta pirmajā daļā minētājām pastāvīgajām pārstāvniecībām jāiesniedz pirmstaksācijas gada peļņas vai zaudējumu aprēķins, kas sagatavots atbilstoši šā likuma 4.panta divpadsmitajai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pirmajā daļā minētais nodokļa maksātājs, ne vēlāk kā četru mēnešu laikā pēc pirmstaksācijas gada uzņēmumu gada pārskata iesniegšanas termiņa, iesniedz Valsts ieņēmumu dienesta elektroniskajā deklarēšanas sistēmā taksācijas gada nodokļa piemaksas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Taksācijas gada nodokļa piemaksas aprēķinā iekļauj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taksācijas gads par kuru tiek veikts nodokļa piemaksas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pirmstaksācijas gada peļņas vai zaudējumu aprēķina summa pēc nodokļiem;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pirmstaksācijas gada peļņas vai zaudējumu aprēķinā norādītā ienākuma daļa, par kuru nodokļa maksātājs turpmāk ir tiesīgs samazināt ar nodokli apliekamajā bāzē iekļauto dividenžu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nodokli apliekamā summa, kas aprēķināta no šīs daļas 2.punktā minētās summas atņemot šīs daļas 3.punktā minēto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aprēķinātā nodokļa piemaksas summa, kas aprēķināta šīs daļas 4.punktā noteiktajai summai piemērojot 20 procentu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samaksātā nodokļa summa par taksācijas gadā aprēķināto šā likuma 4.panta otrās daļas 1.punktā minēto ar nodokli apliekamo objektu (izņemot ārkārtas dividendes);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budžetā maksājamā nodokļa piemaksas summa, kas aprēķināta no šīs daļas 5.punktā aprēķinātās summas atņemot šīs daļas 6.punktā aprēķināto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panta ceturtās daļas 7.punktā maksājamo nodokļa piemaksas summu iemaksā vienotajā nodokļu kontā līdz mēneša, kas seko mēnesim, kurā iesniegts taksācijas gada nodokļa piemaksas aprēķins, 23.datumam.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Piemērojot šā panta ceturto daļu, nodokļa piemaksas aprēķinā neietver nodokļa maksātāja ārvalsts pastāvīgās pārstāvniecības finanšu datus, ja tās ieņēmumi un izdevumi tiek uzskaitīti dalīti un pastāvīgā pārstāvniecība ārvalstī maksā nodokli par tās gūto ienākumu."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iekšzemes uzņēmumi ir minēti likuma 2. panta pirmās daļas 1. punkta a) apakšpunktā, lūdzam precizēt projektā paredzētajā likuma 4.</w:t>
            </w:r>
            <w:r w:rsidR="00000000" w:rsidRPr="00000000" w:rsidDel="00000000">
              <w:rPr>
                <w:vertAlign w:val="superscript"/>
                <w:rtl w:val="0"/>
              </w:rPr>
              <w:t xml:space="preserve">1</w:t>
            </w:r>
            <w:r w:rsidR="00000000" w:rsidRPr="00000000" w:rsidDel="00000000">
              <w:rPr>
                <w:rtl w:val="0"/>
              </w:rPr>
              <w:t xml:space="preserve"> panta pirmajā daļā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23-TA-2277</w:t>
    </w:r>
    <w:r>
      <w:br/>
    </w:r>
    <w:r w:rsidR="00000000" w:rsidRPr="00000000" w:rsidDel="00000000">
      <w:rPr>
        <w:rtl w:val="0"/>
      </w:rPr>
      <w:t xml:space="preserve">Izdrukāts 03.10.2023. 23.06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23-TA-2277</w:t>
    </w:r>
    <w:r>
      <w:br/>
    </w:r>
    <w:r w:rsidR="00000000" w:rsidRPr="00000000" w:rsidDel="00000000">
      <w:rPr>
        <w:rtl w:val="0"/>
      </w:rPr>
      <w:t xml:space="preserve">Izdrukāts 03.10.2023. 23.06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Atzinumi_23-TA-2277.docx</dc:title>
</cp:coreProperties>
</file>

<file path=docProps/custom.xml><?xml version="1.0" encoding="utf-8"?>
<Properties xmlns="http://schemas.openxmlformats.org/officeDocument/2006/custom-properties" xmlns:vt="http://schemas.openxmlformats.org/officeDocument/2006/docPropsVTypes"/>
</file>