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definēt valsts iestāžu (KEM, LVĢMC) un Plānošanas reģionu tiešo atbildību un finansēšanas mehānismus gadījumos, kad piesārņojums ienāk no citas pašvaldības vai no ārvalstīm (pārrobežu piesārņojums), lai visas izmaksas un organizatoriskais smagums negultos uz "skartās" pašvaldības pleciem.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12</w:t>
            </w:r>
            <w:r w:rsidR="00000000" w:rsidRPr="00000000" w:rsidDel="00000000">
              <w:rPr>
                <w:b w:val="1"/>
                <w:rtl w:val="0"/>
              </w:rPr>
              <w:t xml:space="preserve"> pants. Pašvaldības gaisa kvalitātes plānu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elastīgākus nosacījumus plāna izstrādei, ļaujot gaisa kvalitātes pasākumus integrēt jau esošajos pašvaldības attīstības plānošanas dokumentos (piemēram, Attīstības programmā vai Ilgtspējīgas enerģētikas un klimata rīcības plānā), nevis veidot atsevišķu smagnēju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Šajā pantā noteikto prasību izpildes kontroli veic pašvaldības vides kontroles amatpersona vai pašvaldības policija</w:t>
            </w:r>
            <w:r w:rsidR="00000000" w:rsidRPr="00000000" w:rsidDel="00000000">
              <w:rPr>
                <w:color w:val="#3498db"/>
                <w:rtl w:val="0"/>
              </w:rPr>
              <w:t xml:space="preserve">. </w:t>
            </w:r>
            <w:r w:rsidR="00000000" w:rsidRPr="00000000" w:rsidDel="00000000">
              <w:rPr>
                <w:rtl w:val="0"/>
              </w:rPr>
              <w:t xml:space="preserve">Pašvaldība saistošajos noteikumos nosaka kārtību, kādā tiek veikta apkures iekārtu kontrole un pilnvaro kompetento pašvaldības institūciju, kura ir atbildīga par saistošajos noteikumos noteikto prasību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kārtību un tiesisko ietvaru pašvaldības kontroles amatpersonām, veicot pārbaudes privātīpašumos. Bez skaidra valsts līmeņa regulējuma par iekārtu un kurināmā kvalitātes pārbaudes metodiku kontrole būs apgrūtināta un izraisīs juridiskus strīdus.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Šajā pantā minēto saistošos noteikumu prasības, kas attiecas uz esošajām apkures iekārtām stājas spēkā ne agrāk kā vienu gadu pēc saistošo noteikumu publicēšanas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pagarināt esošo apkures iekārtu spēkā stāšanās termiņu no 1 gada  uz vismaz 2–3 gadiem, dodot iedzīvotājiem reālu laiku nomainīt apkures iekārtas un paredzēt elastīgumu atkarībā no sociālās un ēku atbilstības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datu turētāji sniedz pašvaldībai nepieciešamos fona piesārņojuma un bāzes datus gaisa izkliedes modelēšanai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likuma redakciju, skaidri definējot, kas tiek uzskatīts par "risku pārsniegt gaisa kvalitātes normatīvus", lai izvairītos no subjektīvas interpretācijas teritorijas plānojumu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(1) Ikviena persona, kurai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un 11.</w:t>
            </w:r>
            <w:r w:rsidR="00000000" w:rsidRPr="00000000" w:rsidDel="00000000">
              <w:rPr>
                <w:vertAlign w:val="superscript"/>
                <w:rtl w:val="0"/>
              </w:rPr>
              <w:t xml:space="preserve">11</w:t>
            </w:r>
            <w:r w:rsidR="00000000" w:rsidRPr="00000000" w:rsidDel="00000000">
              <w:rPr>
                <w:rtl w:val="0"/>
              </w:rPr>
              <w:t xml:space="preserve"> pantā vai gaisa kvalitāti regulējošajos normatīvajos aktos noteikto prasību attiecībā uz gaisa kvalitātes plānu izstrādi vai īstenošanu neievērošanas dēļ radīts kaitējums veselībai, var Administratīvā procesa likumā noteiktajā kārtībā prasīt tiesā atlīdzinājumu par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neierobežotas civiltiesiskās/administratīvās atbildības uzlikšanu pašvaldībām par gaisa kvalitāti, it īpaši gadījumos, kad gaisa piesārņojumu ietekmē pārrobežu piesārņojums, valsts nozīmes transporta maģistrāles vai, piem., rūpniecības objekti, ko uzrauga valsts iestādes (Valsts vides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(1) Ikviena persona, kurai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un 11.</w:t>
            </w:r>
            <w:r w:rsidR="00000000" w:rsidRPr="00000000" w:rsidDel="00000000">
              <w:rPr>
                <w:vertAlign w:val="superscript"/>
                <w:rtl w:val="0"/>
              </w:rPr>
              <w:t xml:space="preserve">11</w:t>
            </w:r>
            <w:r w:rsidR="00000000" w:rsidRPr="00000000" w:rsidDel="00000000">
              <w:rPr>
                <w:rtl w:val="0"/>
              </w:rPr>
              <w:t xml:space="preserve"> pantā vai gaisa kvalitāti regulējošajos normatīvajos aktos noteikto prasību attiecībā uz gaisa kvalitātes plānu izstrādi vai īstenošanu neievērošanas dēļ radīts kaitējums veselībai, var Administratīvā procesa likumā noteiktajā kārtībā prasīt tiesā atlīdzinājumu par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kompensācijas prasībām pret pašvaldību ir jāpiemēro tāds pats stingrs izvērtēšanas mehānisms caur specializētām ārstniecības iestādēm (analoģiski kā A kategorijas operatoriem 51.1. pantā), un atbildība var iestāties tikai tad, ja pierādīta pašvaldības apzināta bezdarbība tiesas nolēmumu vai tiešu normatīvo aktu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priekšlikumu papildināt normu, nosakot, ka saistošo noteikumu ierobežojumi attiecībā uz cieto biomasu (malku/granulām) stājas spēkā tikai tad, ja valstī ir pieejamas atbalsta programmas (subsidijas) mājsaimniecībām alternatīvu apkures sistēmu uzstādīšanai vai pieslēgumam centralizētajai siltumapgādei.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likumprojektu ar vienotiem noteikumiem par zemo un bezemisiju zonu marķējumu, kontroles mehānismiem (videonovērošana/ANPR kameras) un izņēmumiem (operatīvais transports, invalīdu transports, vietējie iedzīvotāji). Bez valsts līmeņa regulējuma katrai pašvaldībai būs jāizstrādā savi unikāli noteikumi, kas radīs haosu autovadītājiem.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Zemo emisiju zonas un bezemisiju zonas administrēšanas un transportlīdzekļu iebraukšanas kontroles nodrošināšanai pašvaldība bez maksas var  izmantot datus no šādām valsts un pašvaldības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iespēju,ka Ceļu satiksmes drošības direkcijai  vai valstij nodrošina vienotu, automatizētu telemātikas/AVR (numuru nolasīšanas) sistēmu zemo emisiju zonu kontrolei un sodu piemērošanai, nevis katrai pašvaldībai atsevišķi jāveido un jāiepērk sava dārga kontroles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