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Reģistra darbību nodrošina </w:t>
            </w:r>
            <w:r w:rsidR="00000000" w:rsidRPr="00000000" w:rsidDel="00000000">
              <w:rPr>
                <w:rtl w:val="0"/>
              </w:rPr>
              <w:t xml:space="preserve">likuma “Par aviāciju”</w:t>
            </w:r>
            <w:r w:rsidR="00000000" w:rsidRPr="00000000" w:rsidDel="00000000">
              <w:rPr>
                <w:rtl w:val="0"/>
              </w:rPr>
              <w:t xml:space="preserve"> 117.</w:t>
            </w:r>
            <w:r w:rsidR="00000000" w:rsidRPr="00000000" w:rsidDel="00000000">
              <w:rPr>
                <w:vertAlign w:val="superscript"/>
                <w:rtl w:val="0"/>
              </w:rPr>
              <w:t xml:space="preserve">12</w:t>
            </w:r>
            <w:r w:rsidR="00000000" w:rsidRPr="00000000" w:rsidDel="00000000">
              <w:rPr>
                <w:rtl w:val="0"/>
              </w:rPr>
              <w:t xml:space="preserve"> pantā minētā Bezpilota gaisa kuģu informācijas sistēma un atbilstoši </w:t>
            </w:r>
            <w:r w:rsidR="00000000" w:rsidRPr="00000000" w:rsidDel="00000000">
              <w:rPr>
                <w:rtl w:val="0"/>
              </w:rPr>
              <w:t xml:space="preserve">likuma “Par aviāciju”</w:t>
            </w:r>
            <w:r w:rsidR="00000000" w:rsidRPr="00000000" w:rsidDel="00000000">
              <w:rPr>
                <w:rtl w:val="0"/>
              </w:rPr>
              <w:t xml:space="preserve"> 117.</w:t>
            </w:r>
            <w:r w:rsidR="00000000" w:rsidRPr="00000000" w:rsidDel="00000000">
              <w:rPr>
                <w:vertAlign w:val="superscript"/>
                <w:rtl w:val="0"/>
              </w:rPr>
              <w:t xml:space="preserve">5</w:t>
            </w:r>
            <w:r w:rsidR="00000000" w:rsidRPr="00000000" w:rsidDel="00000000">
              <w:rPr>
                <w:rtl w:val="0"/>
              </w:rPr>
              <w:t xml:space="preserve"> panta pirmajai daļai to izveido, uztur un pilnveido Civilās aviācijas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 punktu, jo normai nav juridiskas slodzes un tā ir deklaratīva, ņemot vērā, ka konkrētais regulējums nepārprotami izriet no minētajām likuma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citas normatīvajos aktos noteiktas darbības veikšanai, kuras nodrošināšanai nepieciešama tālvadības pilota identificēšana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projektā vai tā anotācijā skaidrot (nepieciešamības gadījumā - piemērveidā), kādu darbību veikšanai informācija var būt nepieciešama, vai norādīt konkrētu normatīvo aktu jomu, ja tas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ģeogrāfiskās zonas ierosinātājam attiecībā uz tā ierosināto ģeogrāfisko zonu un tās izveidošanas vai grozīšanas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salāgot, nodrošinot vienveidīgu noteikumu projekta 22.5. un 23.2. apakšpunktā lietoto terminoloģiju attiecībā uz ģeogrāfiskajām zonām (sal. vienuviet norādīts uz grozīšanas procesu, bet cituviet uz nosacījumiem, izmaiņām un darbības izbeigšanu).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ar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74. pantā minēto informācijas repozitoriju, saņemot un nododot regulas Nr. 2023/2117 I pielikumā minētajām bezpilota gaisa kuģu jomas informācijas objektu kategorijām atbilstošu informāciju, ciktāl attiecīgā informācija ir ietverta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23.3. apakšpunktā u.c. minētā punkta apakšpunktos vai 23. punkta ievaddaļā nedublējot vārdu "ar" (šobrīd sanāk - "ar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apsvērumus Komisijas 2019. gada 24. maija Īstenošanas regulas (ES) 2019/947 par bezpilota gaisa kuģu ekspluatācijas noteikumiem un procedūrām 9. panta 3. punktā ietvertās rīcības brīvības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minētās regulas 15. panta 3. punkta un 18. panta "f" apakšpunkta ieviešanu noteikumu projekta 23.2.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22. aprīļa Īstenošanas regulas (ES) 2021/664 par "U-space" tiesisko regulējumu ieviešanu 22.8. un 23.7.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74. panta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19.08.2026.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19.08.2026.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