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akcīzes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 (BNA) iebilst pret paredzēto akcīzes nodokļa likmju pieaugumu tabakas izstrādājumiem un pēc mērķa līdzīgiem produktiem 2027.gadā un aicina to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2024.-2026.gadā likumā ierakstītais akcīzes nodokļa likmju pieaugums šiem produktiem pārsniedza 10% gadā, un 2027.gadā atkal tiek paredzēts akcīzes likmju pieaugums ~10% - 11.42%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BNA pauž bažas, ka tik straujš akcīzes nodokļa likmju pieaugums šiem produktiem vairākus  gadus pēc kārtas var radīt nozīmīgus nelegālās tirdzniecības riskus. Tādēļ aicinām 2027.g. paredzēt tādu likmju pieaugumu, kas nepārsniegtu ~5%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Jansone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2024.-2026.gadā likumā ierakstītais akcīzes nodokļa likmju pieaugums šiem produktiem pārsniedza 10% gadā, un 2027.gadā atkal tiek paredzēts akcīzes likmju pieaugums ~10% - 11.42%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BNA pauž bažas, ka tik straujš akcīzes nodokļa likmju pieaugums šiem produktiem vairākus  gadus pēc kārtas var radīt nozīmīgus nelegālās tirdzniecības riskus. Tādēļ aicinām 2027.g. paredzēt tādu likmju pieaugumu, kas nepārsniegtu ~5%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Jansone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02.10.2024.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02.10.2024.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Atzinumi_24-TA-2236.docx</dc:title>
</cp:coreProperties>
</file>

<file path=docProps/custom.xml><?xml version="1.0" encoding="utf-8"?>
<Properties xmlns="http://schemas.openxmlformats.org/officeDocument/2006/custom-properties" xmlns:vt="http://schemas.openxmlformats.org/officeDocument/2006/docPropsVTypes"/>
</file>