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mežsaimnieciska 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49.2. apakšpunkta redakciju un 52.2.apakšpunkta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apakšpunkta redakcija neatbilst DA izveides mērķim, kas ir saistīts ar rekreācijas, dabas un kultūrvides funkcijām, bet nav piemērots saimniecisko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Līdzšinējo izmantošanas veidu mežsaimnieciska teritorijas izmantošana (21001) un mežs īpaši aizsargājamās dabas teritorijās (21002) apvienošana vienā veidā - mežsaimnieciska izmantošana (21001) var būt maldinoša, pretrunīga un atšķirīgi interpretējama. Nav pamata mežus īpaši aizsargājamās dabas teritorijās nosaukt par teritoriju ar mežsaimniecisku izmantošanu, jo ĪADT statuss var būt saistīts ar mežsaimnieciskās darbības ierobežojumiem, vai pat aizliegumiem. Anotācijā minētais nošķīrums, ka šo mežu veidu izmantošanu regulē dažādi normatīvie akti, tieši ir pamatojums izdalīt tos kā atsevišķus izmantošanas veidus nevis apvienot vienā.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atsevišķus izmantošanas veidus mežsaimnieciska teritorijas izmantošana (21001) un mežs īpaši aizsargājamās dabas teritorijās (21002), saglabāt 49.2.apakšpunktu esošajā redakcijā un saglabāt 52.2.apakšpunktu.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13.06.2024.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13.06.2024.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Atzinumi_24-TA-536.docx</dc:title>
</cp:coreProperties>
</file>

<file path=docProps/custom.xml><?xml version="1.0" encoding="utf-8"?>
<Properties xmlns="http://schemas.openxmlformats.org/officeDocument/2006/custom-properties" xmlns:vt="http://schemas.openxmlformats.org/officeDocument/2006/docPropsVTypes"/>
</file>