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projektu iesniegumu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kas pēc projekta iesnieguma apstiprināšanas kļūst par finansējuma saņēmēju, ir akciju sabiedrība "Latvijas valsts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paralēli noteikumu projekta saskaņošanai notiek komunikācija ar Eiropas Komisiju (turpmāk – EK) par finansējuma saņēmēja A/S "Latvijas valsts meži" (turpmāk – LVM) kā lielā uzņēmuma atbilstību Taisnīgā pārkārtošanās fonda ietvaros, lūdzam noteikumu projektu virzīt saskaņošanai Ministru Kabinetā tikai pēc EK akcepta šādu investīciju un finansējuma saņēmēja attiecināmībai.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trešās atlases kārtas ietvaros nav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 skaidrojumu, no kura izriet, ka atbalsts apmežošanas pasākumiem, kas saistīti ar mežsaimniecības nozari, ir sniedzams saskaņā ar Komisijas 2022. gada 14. decembra Regulu Nr. 2022/2472, </w:t>
            </w:r>
            <w:r w:rsidR="00000000" w:rsidRPr="00000000" w:rsidDel="00000000">
              <w:rPr>
                <w:i w:val="1"/>
                <w:rtl w:val="0"/>
              </w:rPr>
              <w:t xml:space="preserve">ar kuru, piemērojot Līguma par Eiropas Savienības darbību 107. un 108. pantu, dažu kategoriju atbalstu lauksaimniecības un mežsaimniecības nozarē un lauku apvidos atzīst par saderīgu ar iekšējo tirgu </w:t>
            </w:r>
            <w:r w:rsidR="00000000" w:rsidRPr="00000000" w:rsidDel="00000000">
              <w:rPr>
                <w:rtl w:val="0"/>
              </w:rPr>
              <w:t xml:space="preserve">(turpmāk - Komisijas regula Nr. 2022/2472), savukārt Komisijas regulas Nr. 651/2014 45. pantu var piemērot ar apmežošanu saistītām aktivitātēm tikai tiktāl, lai nodrošinātu, ka atbalsts apmežošanai nav saistīts ar atbalstu mežsaimniecības nozarei, un, ņemot vērā to, ka šobrīd noteikumu projektā plānots sniegt atbalstu tikai ar Komisijas regulas Nr. 651/2014 45. pantu, lūdzam noteikumu projektā paredzēt normu, ar kuru skaidri tiek noteikts, ka atbalsts netiks sniegts mežsaimniecības jomas aktivitātēm, kā arī iekļaut nosacījumus, kā tiks nodrošināta šīs prasības ievērošana. Vienlaikus lūdzam papildināt anotāciju ar skaidrojumu, kā LVM darbības atbildīs Komisijas regulas Nr. 651/2014 45. pantā plānotajam mērķim bioloģiskās daudzveidības aizsardzībai un atjaunošanai un dabā balstīto risinājumu īstenošanai nolūkā panākt klimatadaptāciju un klimata pārmaiņu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projektā 22.5. punktā noteiktās izmaksas, jo var secināt, ka tiek plānotas aktivitātes, kas saistītas ar atbalstu saimnieciskai darbībai mežsaimniecības nozarē. Gadījumā, ja pasākuma ietvaros tiek plānots atbalsts darbībām un izmaksām, kas ir saistītas ar saimniecisko darbību mežsaimniecības nozarē, lūdzam papildināt noteikumu projektu ar atbilstoša komercdarbības atbalsta regulējuma - Komisijas regulas Nr. 2022/2472 -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atbalsts atsevišķām pasākuma ietvaros plānotajām darbībām un izmaksām varētu būt saistīts ar atbalsta sniegšanu nesaimnieciskai darbībai. Noteikumu projektā lūdzam attiecīgi skaidri norādīt, kurām izmaksām tiek piemērots komercdarbības atbalsta regulējums un kuras izmaksas tiek atbalstītas nesaimniecisku darbību ietvaros. Šādā gadījumā lūdzam precizēt noteikumu projektu un papildināt anotāciju ar atbilstošu informāciju un skaidrojumu, lai atbalsta pretendentiem nosacījumi ir skaidri. Vēršam uzmanību, ka, ja pasākuma ietvaros plānots, ka LVM saņem atbalstu gan saimnieciskai, gan nesaimnieciskai darbībai, noteikumu projektā jāparedz darbību un izmaksu nodalīšana, lai nodrošinātu, ka ar saimniecisko darbību saistītas aktivitātes negūst labumu no pasākuma ietvaros piešķirtā atbalsta nesaimnieciskām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tiešās attiecināmās projekta vadības un īstenošanas personāla izmaksas atbilstoši šo noteikumu </w:t>
            </w:r>
            <w:r w:rsidR="00000000" w:rsidRPr="00000000" w:rsidDel="00000000">
              <w:rPr>
                <w:rtl w:val="0"/>
              </w:rPr>
              <w:t xml:space="preserve">19.6. </w:t>
            </w:r>
            <w:r w:rsidR="00000000" w:rsidRPr="00000000" w:rsidDel="00000000">
              <w:rPr>
                <w:rtl w:val="0"/>
              </w:rPr>
              <w:t xml:space="preserve">apakšpunktam</w:t>
            </w:r>
            <w:r w:rsidR="00000000" w:rsidRPr="00000000" w:rsidDel="00000000">
              <w:rPr>
                <w:rtl w:val="0"/>
              </w:rPr>
              <w:t xml:space="preserve">,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likmi septiņu procentu apmērā no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minētajām tiešajām attiecināmajām izmaksām, kas nav personāla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vienotās likmes apmērs personāla izmaksām nav saskaņots ar vadošo iestādi saskaņā ar Finanšu ministrijas vadlīniju Nr. 1.1. “Vadlīnijas par vienkāršoto izmaksu izmantošanas iespējām un to piemērošana Eiropas Savienības kohēzijas politikas programmas 2021.–2027.gadam ietvaros” 55.punktā noteikto.  Lūdzam atbilstoši saskaņot noteikumu projektā iekļauto vienotās likmes apmēru personāla izmaksām (t.sk. aprēķinu), to nosūtot uz sco@fm.gov.lv. Vienlaikus informējam, ka anotācijā ietverto informāciju par vienoto likmi pārskatīsim pēc informācijas saņemšanas vadošajā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Komercdarbības atbalstu šo noteikumu ietvaros piešķir saskaņā ar regulas Nr. 651/2014 45. panta 2. punkta  "c" un “d” apakšpunktu un 8. punktu, ja ir ievēroti visi turpmāk minētie regulas Nr. 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 punktu ar apakšpunktu, ka tiks ievēroti Komisijas regulas Nr. 651/2014 45. panta 4. punktā minētie nosacījumi par pasākumiem, kuriem nepiemēro Komisijas regulas Nr. 651/2014 45.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trešās atlases kārtas mērķis ir mazināt vēsturiski radīto kaitējumu dabas resursiem pamestajās kūdras ieguves vietās, atjaunojot purvu un ar to saistīto ekosistēmu funkcionalitāti, nodrošinot dabisku vai daļēji dabisku ekosistēmu noturību un to stāvokļa uzlabošanos un kvalitāti, aizsargājot un palielinot bioloģisko daudzveidību, mazinot klimata pārmaiņu radītās sekas ar dabā balstītiem risinājumiem, nodrošinot pilnvērtīgu teritoriju turpmāku izmantošanu un sekmējot šo vietu iekļaušanos ainavā, kā arī nodrošinot cilvēku labbūtību.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saistībā ar plānoto investīciju raksturu, lūdzam anotācijā sniegt skaidrojumu par noteikumu projekta 2.punktā minēto investīciju mērķi, kas tai skaitā paredz pilnvērtīgu teritoriju turpmāku izmantošanu, konkrētāk skaidrojot, kādiem mērķiem plānots izmantot teritorijas, kurās tiks īstenoti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nacionālais radītājs – Latvijas Republikas valsts īpašumā esošo vēsturisko kūdras ieguves vietu izpēte un inventarizācija veikta teritorijās, kuru kopējā platība sasniedz vismaz 13 000 hektārus.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6.1.1.1. pasākuma trešās atlases kārtai jau noteikts iznākuma un rezultāta rādītājs, administratīvā sloga mazināšanas nolūkos, aicinām izvērtēt vai nepieciešams noteikumu projekta 4.3.apakšpunktā noteiktais nacionālais rādītājs vai arī valsts īpašumā esošo vēsturisko kūdras ieguves vietu izpēte un inventarizācija nosakāma kā prasība finansējuma saņēmējam, precizējot noteikumu projekta 32.1.apakšpunktu. Ja nacionālais rādītājs noteikumu projektā tiek saglabāts, aicinām papildināt anotāciju, nosakot, ka rādītāja sasniegtā vērtība neietekmē projekta rezultātu un mērķi un sadarbības iestāde neveic nacionālā rādītājā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iesnieguma un projekta īstenošanu pamatojošās dokumentācijas sagatavošanas izmaksas (izņemot projekta iesnieguma veidlapas aizpildīšanas izmaksas), kas tieši saistītas ar projektā plānotajām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Vadošās iestādes vadlīniju Nr.1.2. "Vadlīnijas attiecināmo izmaksu noteikšanai Eiropas Savienības kohēzijas politikas programmas 2021.-2027.gada plānošanas periodā"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vadošā iestāde vadlīnijās ierosinājusi grozījumus, tie pašlaik ir saskaņošanas procesā un gala versija vēl nav apstiprināta, līdz ar to aicinām ņemt vērā, ka tajā vēl iespējamas izmaiņas, t.sk. tādas, kas ietekmētu arī šo noteikumu projektu un tajā ietvertos attiecināmības nosacījumus.  Ņemot vērā iepriekšminēto, lūdzam izvērtēt iespēju piemērot spēkā esošo ierobežojumu, vai arī anotācijā sniegt pamatojumu ierobežojuma nenoteikšanai (t.i. atkāpei no spēkā esošajām vadlīnijām), skaidrojot vai tas nerada risku nesamērīgi liela finansējuma apjoma piešķiršanai šajā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netiešās attiecināmās izmaksas ir projekta izmaksas, kas nav iekļautas projekta tiešajās attiecināmajās izmaksās, bet ir nepieciešamas projekta rezultātu sasniegšanai, kuras plāno kā vienu izmaksu pozīciju, piemērojot netiešo izmaksu vienoto likmi septiņu procentu apmērā no šo noteikumu </w:t>
            </w:r>
            <w:r w:rsidR="00000000" w:rsidRPr="00000000" w:rsidDel="00000000">
              <w:rPr>
                <w:rtl w:val="0"/>
              </w:rPr>
              <w:t xml:space="preserve">22.7. </w:t>
            </w:r>
            <w:r w:rsidR="00000000" w:rsidRPr="00000000" w:rsidDel="00000000">
              <w:rPr>
                <w:rtl w:val="0"/>
              </w:rPr>
              <w:t xml:space="preserve">apakšpunktā</w:t>
            </w:r>
            <w:r w:rsidR="00000000" w:rsidRPr="00000000" w:rsidDel="00000000">
              <w:rPr>
                <w:rtl w:val="0"/>
              </w:rPr>
              <w:t xml:space="preserve"> minētajām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54.panta a) apakšpunktu, ja piemēro netiešo izmaksu vienoto likmi septiņu procentu apmērā, tad to rēķina no projekta tiešajām attiecināmajam izmaksām, savukārt ja piemēro 54.panta b) apakšpunktu, netiešo izmaksu vienoto likmi piecpadsmit procentu apmērā rēķina no projekta personāla izmaksām, kas šajā noteikumu projektā norādītas 22.7.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netiešo izmaksu likmes apmēru uz 15% no 22.7. apakšpunktā minētajām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atsauci no 22.7. apakšpunkta un 22.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Neparedzētie izdevumi nepārsniedz desmit procentus no projekta kopējām tiešajām attiecināmajām izmaksām. Neparedzēto izdevumu finansējuma izlietošanu finansējuma saņēmējs saskaņo ar sadarbības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katrā SAM minētais procentuālais apmērs ir jāizvērtē individuāli, atkarībā no tā, cik apjomīgus un sarežģītus projektus paredzēts īstenot attiecīgajā SAM, taču tas kopumā nedrīkst pārsniegt 5 % no kopējo tiešo attiecināmo izmaksu summas. Līdz ar to lūdzam precizēt procentuālo apmēru atbilstoši vadlīniju 12.2.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vadošās iestādes vadlīnijās ierosinātie grozījumi pašlaik ir saskaņošanas procesā un gala versija vēl nav apstiprināta, līdz ar to aicinām ņemt vērā, ka tajā vēl iespējamas izmaiņas, t.sk. tādas, kas ietekmētu arī šo noteikumu projektu un tajā ietvertos attiecināmības nosacījumus.  Ņemot vērā iepriekš minēto, lūdzam piemērot vadlīniju spēkā esošo versiju vai arī anotācija sniegt pamatojumu atkāpei no spēkā esošajām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attiecināms, projekta ietvaros, veicot iepirkumus, nodrošina vides prasību integrāciju preču, pakalpojumu un būvdarbu iepirkumos (zaļais publiskais iepirkums), kā arī publiskos iepirkumus īsteno sociāli atbildīgā veidā, piemērojot sociāli atbildīgā publiskā iepirkuma un inovatīvā publiskā iepirkuma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31.punkta redakciju, kas šobrīd paredz obligātu publiskā iepirkuma īstenošanu sociāli atbildīgā veidā. Rosinām administratīvā sloga mazināšanas nolūkos apsvērt iespēju sociāli atbildīga publisko iepirkumu veikšanu projekta īstenotājam paredzēt kā izvēles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36.3.</w:t>
            </w:r>
            <w:r w:rsidR="00000000" w:rsidRPr="00000000" w:rsidDel="00000000">
              <w:rPr>
                <w:rtl w:val="0"/>
              </w:rPr>
              <w:t xml:space="preserve"> un </w:t>
            </w:r>
            <w:r w:rsidR="00000000" w:rsidRPr="00000000" w:rsidDel="00000000">
              <w:rPr>
                <w:rtl w:val="0"/>
              </w:rPr>
              <w:t xml:space="preserve">36.4. </w:t>
            </w:r>
            <w:r w:rsidR="00000000" w:rsidRPr="00000000" w:rsidDel="00000000">
              <w:rPr>
                <w:rtl w:val="0"/>
              </w:rPr>
              <w:t xml:space="preserve">apakšpunktā</w:t>
            </w:r>
            <w:r w:rsidR="00000000" w:rsidRPr="00000000" w:rsidDel="00000000">
              <w:rPr>
                <w:rtl w:val="0"/>
              </w:rPr>
              <w:t xml:space="preserve"> iekļautos nosacījumus pārbauda uz komercdarbības atbalsta piešķiršanas brīdi un uz projekta iesnieguma iesniegšanas brīdi sadarbības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komercdarbības atbalsta kontroles viedokļa ir svarīgi nodrošināt, ka piemērojamie atbalsta nosacījumi tiek pārbaudīti uz komercdarbības atbalsta piešķiršanas brīdi, administratīvā sloga mazināšanas kontekstā lūdzam izvērtēt, vai noteikumu projekta 36.3. un 36.4. apakšpunktos iekļautos nosacījumus būtu nepieciešams pārbaudīt arī uz projekta iesniegšanas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2.2.sadaļu ar izvērstāku informāciju par pasākumā plānoto investīciju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23.04.2025.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23.04.2025.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