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kritērijus un kārtību, kādā ārstniecības iestādei vai tās struktūrvienībai (turpmāk - ārstniecības iestāde), vai augstākās izglītības iestādei tiek piešķirts metodiskās vadības institūcijas statuss konkrētā veselības aprūpes jomā (turpmāk – metodiskās vadības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"Metodiskās vadības institūcijas noteikumi" (turpmāk – projekts) 1.1. apakšpunktu atbilstoši Ārstniecības likuma 9. panta sestajā daļā Ministru kabinetam dotajam pilnvarojumam,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Metodiskās vadības institūcijas statusu var piešķirt publiskas personas kapitālsabiedrībai vai augstākās izglītības iestādei, lai nodrošinātu metodisko vadību ģimenes medicīnas jomā, ja tā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punkta ievaddaļā lietoto vārdu savienojumu "publiskas personas kapitālsabiedrība", ņemot vērā to, ka projektā tāds citviet netiek lietots, vai papildināt projekta sākotnējās ietekmes novērtējuma ziņojumu (turpmāk – anotācija) ar informāciju par to, kas var būt šīs publiskas personas kapitālsabiedrības.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Metodiskās vadības institūcija tai deleģētos valsts pārvaldes uzdevumus veic ministrijas pakļautībā. Ministrijai ir tiesības metodiskās vadības institūcijai uzdot uzdevumus ārstniecības procesu kvalitātes pārraudzības, metodiskās vadības un citu metodiskās vadības institūcijas kompetences pasākumu izpildes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 panta 34. punkts paredz, ka metodiskās vadības institūcija ir iestāde vai tās struktūrvienība, kas izstrādā vienotus profilakses, diagnostikas, ārstēšanas un tās pēctecības principus attiecīgajā veselības aprūpes jomā, kā arī nodrošina sistēmisku ārstniecības procesu kvalitātes pārraudzību valstī, veicot ārstniecības iestāžu metodisko vadību attiecīgajā veselības aprūpes jomā. Savukārt projekta 13. punkts paredz, kādus pienākumus būs jāveic metodiskās vadības institūcijai. Ievērojot minēto, lūdzam izvērtēt nepieciešamību precizēt projekta 6. punkta otro teikumu, kas paredz noteikt, kādus uzdevumus var deleģēt metodiskās vadības institūcijai.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 var apturēt metodiskās vadības institūcijas darbību, ja tā neatbilst šo noteikumu 2. vai 3.punktā noteiktajām prasībām, vai neizpilda kādu no šo noteikumu 13. punktā minētajiem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 8. un 9. punktu, ņemot vērā to, ka Ārstniecības likuma 9. panta sestajā daļā Ministru kabinetam nav dots pilnvarojums apturēt metodiskās vadības institūcijas darbību. Vēršam uzmanību uz to, ka saskaņā ar Administratīvā procesa likuma 11. pantu privātpersonai nelabvēlīgu administratīvo aktu izdot var uz Satversmes, likuma, kā arī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Ministrija var anulēt metodiskās vadības institūcijas statusu, ja ir vismaz viens no šādiem iemesliem un metodiskās vadības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un 11. punktu, ņemot vērā to, ka Ārstniecības likuma 9. panta sestajā daļā Ministru kabinetam nav dots pilnvarojums anulēt metodiskās vadības institūcijas statusu. Vēršam uzmanību uz to, ka saskaņā ar Administratīvā procesa likuma 11. pantu privātpersonai nelabvēlīgu administratīvo aktu izdot var uz Satversmes, likuma, kā arī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Veselības ministrija, Nacionālais veselības dienests un ārstniecības vai augstākās izglītības iestāde slēdz līgumu par apmaksas kārtību metodiskās vadības nodrošināšanai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projekta 15. punktu, ņemot vērā to, ka Valsts pārvaldes iekārtas likuma 46. panta 6. punkts paredz, ka deleģēšanas līgumā norāda savstarpējo norēķinu kārtību, finanšu un citu resursu piešķiršanas noteikumus. Vienlaikus lūdzam ņemt vērā, ka saskaņā ar deleģēšanas līgumu samaksa veicama tikai par tiem valsts pārvaldes uzdevumiem, kuri attiecīgajai institūcijai ir deleģēti. Anotācijā ir norādīts, ka metodiskās vadības institūcija tai deleģētos valsts pārvaldes uzdevumus veic Veselības ministrijas pakļautībā. Savukārt projekta 6. punkta otrais teikums paredz, kādus uzdevumus Veselības ministrija uzdos veikt metodiskās vadības institūcijai, visticamāk, slēdzot deleģēšanas līgumu. Vienlaikus projekta 13. punktā ir uzskaitīti metodiskās vadības institūcijas pienākumi, taču nav skaidrs, vai arī to veikšana tiks deleģēta metodiskās vadības institūcijām, vai arī tās tos veiks, ņemot vērā to, ka tām būs piešķirts metodiskās vadības institūcijas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ārstniecības iestādei ir ne mazāk kā desmit gadu klīniskā darba pieredze vienā vai vairākās metodiskās vadības institūcijas jomās, tai skaitā visās metodiskās vadības institūcijas jomā iekļautajās specialitātēs vai ārstniecības iestādei ir spēkā esošs sadarbības līgums ar ārstniecības iestādi, kas atbilst šajā apakšpunktā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2.4. apakšpunktā un projekta 4. un 14. punktā vārdu "prasībām" aizstāt ar vārdu "kritērijiem", ņemot vērā to, ka projekta 2. un 3. punkts paredz kritērijus, nevis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izglītības iestāde piedalās projektos, pētījumos, sadarbības tīklos ģimenes medicīnas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3.3. apakšpunktā ietverto vārdu savienojumu "izglītības iestāde", ņemot vērā to, ka projekta 3. punkta ievaddaļā minēts, ka metodiskās vadības institūcijas statusu var piešķirt arī publiskas personas kapitālsabiedrībai.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4.1.1. apakšsadaļā iekļauto informāciju, ņemot vērā to, ka projekta saistītais tiesību akta projekts nevar būt grozījumi likumā. Vēršam uzmanību uz to, ka Ministru kabineta noteikumos ietvertajam regulējumam jāizriet no likumā ietvertā regulējuma, tādējādi vispirms būtu izdarāmi grozījumi likumā un tikai tad sagatavojami attiecīgi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20.03.2024.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20.03.2024.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