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24-TA-1992: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likumprojektu “Grozījumi Sauszemes transportlīdzekļu īpašnieku civiltiesiskās atbildības obligātās apdrošināšanas likumā”(Nr.285/lp14)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Transportlīdzekļu apdrošinātāju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Budžeta un finanšu (nodokļu) komisijas 2024. gada 30. janvāra vēstuli Nr. 111.9/2-11-14/24 ar aicinājumu izveidot darba grupu, kurā tiktu izvērtēts likumprojekts “Grozījumi Sauszemes transportlīdzekļu īpašnieku civiltiesiskās atbildības obligātās apdrošināšanas likumā” (Nr.285/lp14) (turpmāk – likumprojekts), tam iesniegtie priekšlikumi, kā arī izvērtēti apdrošināšanas tirgus dalībnieku pārstāvošo organizāciju sniegtie ierosinājumi.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Ministru kabineta uzdevumam Finanšu ministrija izveidoja darba grupu, lai izvērtētu likumprojektam iesniegtos priekšlikumus, kā arī apdrošināšanas tirgus dalībnieku pārstāvošo organizāciju sniegtos ierosinājumus. Vairākkārtējās darba grupas sanāksmēs notika diskusijas par šādiem jautājumiem.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[1] Par bruņoto spēku dienesta transportlīdzekļa nodarītiem zaudējumiem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Aizsardzības ministrija iesniedza priekšlikumu papildināt Sauszemes transportlīdzekļu īpašnieku civiltiesiskās atbildības obligātās apdrošināšanas likumu (turpmāk - OCTA likums) ar 41.</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“41.</w:t>
            </w:r>
            <w:r w:rsidR="00000000" w:rsidRPr="00000000" w:rsidDel="00000000">
              <w:rPr>
                <w:b w:val="1"/>
                <w:vertAlign w:val="superscript"/>
                <w:rtl w:val="0"/>
              </w:rPr>
              <w:t xml:space="preserve">3</w:t>
            </w:r>
            <w:r w:rsidR="00000000" w:rsidRPr="00000000" w:rsidDel="00000000">
              <w:rPr>
                <w:b w:val="1"/>
                <w:rtl w:val="0"/>
              </w:rPr>
              <w:t xml:space="preserve"> pants. Ārvalstu bruņoto spēku dienesta transportlīdzekļa, kas atrodas Latvijas Republikā, īstenojot sadarbību, ko paredz starptautisks līgums, nodarīto zaudējumu atlīdzināšana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ārvalstu bruņoto spēku īpašumā reģistrēts dienesta transportlīdzeklis, atrodas Latvijas Republikā, īstenojot sadarbību, ko paredz starptautisks līgums, ir nodarījis zaudējumus, kas radušies ceļu satiksmes negadījumā Latvijas Republikā, Transportlīdzekļu apdrošinātāju birojs un Aizsardzības ministrija rīkojas atbilstoši šā likuma 41.</w:t>
            </w:r>
            <w:r w:rsidR="00000000" w:rsidRPr="00000000" w:rsidDel="00000000">
              <w:rPr>
                <w:vertAlign w:val="superscript"/>
                <w:rtl w:val="0"/>
              </w:rPr>
              <w:t xml:space="preserve">1</w:t>
            </w:r>
            <w:r w:rsidR="00000000" w:rsidRPr="00000000" w:rsidDel="00000000">
              <w:rPr>
                <w:rtl w:val="0"/>
              </w:rPr>
              <w:t xml:space="preserve"> panta pirmās un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atbalstīts minētais priekšlikums, veicot atsevišķus precizējumus, proti, svītrojot vārdu “dienesta” un aiz vārda “transportlīdzeklis” papildinot ar vārdiem “neatkarīgi no tā, vai tas būvēts uz automobiļa bāzes”, lai ietvertu arī militāro speciālo tehniku. Tādējādi darba grupā tika panākta vienošanās papildināt OCTA likumu ar 41.</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41.</w:t>
            </w:r>
            <w:r w:rsidR="00000000" w:rsidRPr="00000000" w:rsidDel="00000000">
              <w:rPr>
                <w:b w:val="1"/>
                <w:vertAlign w:val="superscript"/>
                <w:rtl w:val="0"/>
              </w:rPr>
              <w:t xml:space="preserve">3</w:t>
            </w:r>
            <w:r w:rsidR="00000000" w:rsidRPr="00000000" w:rsidDel="00000000">
              <w:rPr>
                <w:b w:val="1"/>
                <w:rtl w:val="0"/>
              </w:rPr>
              <w:t xml:space="preserve"> pants. Ārvalstu</w:t>
            </w:r>
            <w:r w:rsidR="00000000" w:rsidRPr="00000000" w:rsidDel="00000000">
              <w:rPr>
                <w:rtl w:val="0"/>
              </w:rPr>
              <w:t xml:space="preserve"> </w:t>
            </w:r>
            <w:r w:rsidR="00000000" w:rsidRPr="00000000" w:rsidDel="00000000">
              <w:rPr>
                <w:b w:val="1"/>
                <w:rtl w:val="0"/>
              </w:rPr>
              <w:t xml:space="preserve">bruņoto spēku transportlīdzekļa, kas atrodas Latvijas Republikā, īstenojot sadarbību, ko paredz starptautisks līgums, nodarīto zaudējumu atlīdzināšana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ārvalstu bruņoto spēku īpašumā reģistrēts transportlīdzeklis neatkarīgi no tā, vai tas būvēts uz automobiļa bāzes, atrodas Latvijas Republikā, īstenojot sadarbību, ko paredz starptautisks līgums, ir nodarījis zaudējumus, kas radušies ceļu satiksmes negadījumā Latvijas Republikā, Transportlīdzekļu apdrošinātāju birojs un Aizsardzības ministrija rīkojas atbilstoši šā likuma 41.</w:t>
            </w:r>
            <w:r w:rsidR="00000000" w:rsidRPr="00000000" w:rsidDel="00000000">
              <w:rPr>
                <w:vertAlign w:val="superscript"/>
                <w:rtl w:val="0"/>
              </w:rPr>
              <w:t xml:space="preserve">1</w:t>
            </w:r>
            <w:r w:rsidR="00000000" w:rsidRPr="00000000" w:rsidDel="00000000">
              <w:rPr>
                <w:rtl w:val="0"/>
              </w:rPr>
              <w:t xml:space="preserve"> panta pirmās un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 Deputāta A.Kulberga priekšlikumi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[2.1] </w:t>
            </w:r>
            <w:r w:rsidR="00000000" w:rsidRPr="00000000" w:rsidDel="00000000">
              <w:rPr>
                <w:rtl w:val="0"/>
              </w:rPr>
              <w:t xml:space="preserve">Deputāts A.Kulbergs iesniedza priekšlikumu izteikt OCTA likuma 38.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38.</w:t>
            </w:r>
            <w:r w:rsidR="00000000" w:rsidRPr="00000000" w:rsidDel="00000000">
              <w:rPr>
                <w:b w:val="1"/>
                <w:vertAlign w:val="superscript"/>
                <w:rtl w:val="0"/>
              </w:rPr>
              <w:t xml:space="preserve">1</w:t>
            </w:r>
            <w:r w:rsidR="00000000" w:rsidRPr="00000000" w:rsidDel="00000000">
              <w:rPr>
                <w:b w:val="1"/>
                <w:rtl w:val="0"/>
              </w:rPr>
              <w:t xml:space="preserve"> pants. Tiešā zaudējumu regulēšana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Personai, kura pretendē saņemt apdrošināšanas atlīdzību par tās mantai nodarītajiem zaudējumiem, kurus nodarījis Latvijas Republikā reģistrēts transportlīdzeklis, ir tiesības iesniegt iesniegumu par apdrošināšanas atlīdzību apdrošinātājam, ar kuru noslēgts apdrošināšanas līgums, ievērojot šajā likumā minētos noilguma termiņus.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Apdrošinātājam, ar kuru noslēgts apdrošināšanas līgums, ir tiesības atteikties atlīdzināt zaudējumus, ja: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nav iespējams izvērtēt un noteikt katras ceļu satiksmes negadījumā iesaistītās personas atbildību par nodarītajiem zaudējumiem;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kopējā apdrošināšanas atlīdzības summa pārsniedz 10 000 euro.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Ja ir konstatējams kāds no šā panta otrajā daļā minētajiem nosacījumiem, apdrošinātājs, ar kuru noslēgts apdrošināšanas līgums, nekavējoties, bet ne vēlāk kā 14 dienu laikā pēc iesnieguma par apdrošināšanas atlīdzību saņemšanas, informē iesnieguma iesniedzēju, kurš šādā gadījumā zaudējumu atlīdzināšanu pieprasa no apdrošinātāja, kas apdrošinājis zaudējumu nodarījušā transportlīdzekļa īpašnieka civiltiesisko atbildību, vai Transportlīdzekļu apdrošinātāju biroja.”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Pamatojot priekšlikumu deputāts A.Kulbergs norādīja, ka spēkā esošais likuma regulējums paredz, ka apdrošinātājiem ir tiesības vienoties par tiešo zaudējumu regulēšanu, taču virkne apdrošinātāju nav noslēguši šādas vienošanās. OCTA gadījumā cietušā satiksmes dalībnieka zaudējumus atlīdzina vainīgās puses OCTA apdrošinātājs vai arī garantijas fonds, ja vainīgā puse nav apdrošināta vai kādu citu iemeslu dēļ. Šāda kārtība ir radījusi situāciju, kad OCTA apdrošināšanas polises iegādes izvēli nenosaka segums, izmaksas operativitāte vai citi kritēriji, bet gan zemākā cena. Faktiski polise tiek iegādāta nedomājot par zaudējumu atlīdzības kvalitāti. Tā rezultātā negadījumā cietusī puse ir spiesta veidot attiecības ar sev nepazīstamu apdrošinātāju, bez klienta attiecību vēstures, bez iespējām gūt priekšrocības no iespējamām klientu lojalitātes programmām un pieņemt atlīdzības izmaksas kārtību, ko tai ir “nopirkusi” vainīgā puse. Tādēļ ir grozāms likuma 38.</w:t>
            </w:r>
            <w:r w:rsidR="00000000" w:rsidRPr="00000000" w:rsidDel="00000000">
              <w:rPr>
                <w:vertAlign w:val="superscript"/>
                <w:rtl w:val="0"/>
              </w:rPr>
              <w:t xml:space="preserve">1 </w:t>
            </w:r>
            <w:r w:rsidR="00000000" w:rsidRPr="00000000" w:rsidDel="00000000">
              <w:rPr>
                <w:rtl w:val="0"/>
              </w:rPr>
              <w:t xml:space="preserve">pants, paredzot pārņemt Igaunijas pieredzi, t.i., kad cietušajam ir tiesības izvēlēties, kam iesniegt pieteikumu – vainīgā apdrošinātājam vai savam apdrošinātājam, ar kuru noslēgts līgums.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atbalsta šo deputāta A.Kulberga priekšlikumu un arī saskata iespēju tādējādi uzlabot cietošo personu apkalpošanas kvalitāti, piemēram, piesaistot profesionālus transportlīdzekļa remonta pakalpojumu sniedzējus vai citu nepieciešamo pakalpojumu sniedzējus, ar kuru palīdzību tiek nodrošināta  apdrošināšanas atlīdzības izmaksa.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ka šāds priekšlikums pēc būtības ir atbalstāms, bet deputāta A.Kulberga iesniegtā priekšlikuma redakciju būtu nepieciešams precizēt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[2.2] </w:t>
            </w:r>
            <w:r w:rsidR="00000000" w:rsidRPr="00000000" w:rsidDel="00000000">
              <w:rPr>
                <w:rtl w:val="0"/>
              </w:rPr>
              <w:t xml:space="preserve">Deputāts A.Kulbergs iesniedza priekšlikumu papildināt OCTA likuma 10. panta pirmo daļu ar 12. punktu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“12) transportlīdzeklis noņemts no uzskaites Latvijas Republikā.”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Priekšlikuma pamatojumā norādīts, ka šobrīd regulējums paredz, ka transportlīdzekļa pārdošanas gadījumos apdrošināšanas līgums izbeidzas pirms termiņa, ja transportlīdzeklim mainās īpašnieks vai transportlīdzeklis normatīvajos aktos noteiktajā kārtībā nodots tirdzniecības uzņēmumam (komersantam) tirdzniecībai un par to izdarīta atzīme Ceļu satiksmes drošības direkcijas vai Valsts tehniskās uzraudzības aģentūras reģistrā. Savukārt, ja transportlīdzeklis tiek noņemts no uzskaites pārdošanai un netiek nodots tirdzniecības uzņēmumam (komersantam) tirdzniecībai, bet transportlīdzekļa īpašnieks pats vēlas pārdot transportlīdzekli, tas nevar iesniegt apdrošinātājam pieteikumu par neizmantotās apdrošināšanas prēmijas atmaksu.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uzmanību, ka Eiropas Parlamenta un Padomes 2021.gada 24.novembra direktīvas (ES) 2021/2118, ar ko groza direktīvu 2009/103/EK par civiltiesiskās atbildības apdrošināšanu saistībā ar mehānisko transportlīdzekļu izmantošanu un kontroli saistībā ar pienākumu apdrošināt šādu atbildību, 5. apsvērumā skaidrots, ka Eiropas Savienības Tiesas  jaunākajos lēmumos, proti, lēmumos lietās Vnuk, Rodrigues de Andrade un Torreiro, Tiesa ir precizējusi koncepta “transportlīdzekļu izmantošana” nozīmi. Jo īpaši Eiropas Savienības Tiesa ir precizējusi, ka mehāniskie transportlīdzekļi parasti ir paredzēti izmantošanai transportam neatkarīgi no šādu transportlīdzekļu raksturlielumiem un ka šādu transportlīdzekļu izmantošana attiecas uz jebkādu transportlīdzekļa izmantošanu, kas atbilst tā parastai funkcijai – kalpot par transporta līdzekli, – neatkarīgi no apvidus, kurā attiecīgais mehāniskais transportlīdzeklis tiek izmantots, un neatkarīgi no tā, vai transportlīdzeklis ir nekustīgs vai atrodas kustībā.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gadījumā, kad transportlīdzekļa īpašnieks pats vēlas veikt darbības, lai pārdotu transportlīdzekli, šis transportlīdzeklis joprojām atrodas viņa valdījumā un līdz ar to tieši viņš turpina būt atbildīgs par OCTA līguma noslēgšanu. Papildus ir jāņem vērā, ka katra jauna OCTA līguma noslēgšana ir saistīta ar administratīvajām izmaksām, kas tiek ietvertas apdrošināšanas prēmijas maksājumā.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vēl precizēt deputāta A.Kulberga iesniegtā priekšlikuma redakciju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[2.3] </w:t>
            </w:r>
            <w:r w:rsidR="00000000" w:rsidRPr="00000000" w:rsidDel="00000000">
              <w:rPr>
                <w:rtl w:val="0"/>
              </w:rPr>
              <w:t xml:space="preserve">Deputāts A.Kulbergs ir iesniedzis priekšlikumu izslēgt OCTA likuma 35. panta 2. punktu,  kā arī izteikt OCTA likuma 51. panta pirmās daļas 2. punktu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nenoskaidrots transportlīdzeklis;”.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paredzot, ka personām, kuras cietušas ceļu satiksmes negadījumā, kurā vainojams nenoskaidrots transportlīdzeklis, ir tiesības saņemt zaudējumu atlīdzību no LTAB Garantijas fonda, pat tad, ja nodarītais kaitējums ir tikai mantisks un personas veselība nav cietusi.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uzmanību, ka Eiropas Parlamenta un Padomes 2009.gada 16.septembra direktīvas 2009/103/EK par civiltiesiskās atbildības apdrošināšanu saistībā ar mehānisko transportlīdzekļu izmantošanu un kontroli saistībā ar pienākumu apdrošināt šādu atbildību (turpmāk - Direktīva 2009/103/EK)  14. apsvērumā skaidrots, ka ir jāparedz, lai iestāde garantē, ka cietušais nepaliks bez kompensācijas, ja transportlīdzeklis, kas izraisījis negadījumu, nav apdrošināts vai identificēts. Ir svarīgi nodrošināt, ka negadījumā cietušais varētu vispirms tieši vērsties minētajā iestādē. Dalībvalstīm tomēr būtu jādod iespēja piemērot dažus ierobežotus izņēmumus minētās iestādes kompensāciju izmaksāšanā un noteikt, ka kompensācijas par neidentificēta transportlīdzekļa radīto kaitējumu īpašumam var ierobežot vai neizmaksāt, ņemot vērā krāpšanas iespējamību.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Direktīvas 2009/103/EK 10. panta 3. punktu dalībvalstis var ierobežot minētās iestādes maksātu kompensāciju vai noteikt, ka tai nav jāmaksā kompensācija, ja īpašumam kaitējis neidentificēts transportlīdzeklis. Tomēr, ja iestāde ir izmaksājusi kompensāciju par nozīmīgiem miesas bojājumiem ikvienai personai, kas cietusi tajā pašā negadījumā, kurā kaitējumu īpašumam ir nodarījis neidentificēts transportlīdzeklis, dalībvalstis nevar liegt izmaksāt kompensāciju par kaitējumu īpašumam, pamatojoties uz to, ka transportlīdzeklis ir neidentificēts. Taču dalībvalstis var paredzēt nekompensējamu daļu, kas nepārsniedz 500 EUR un par kuru ir atbildīga cietusī persona, kuras īpašumam ir nodarīts šāds kaitējums.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vēl precizēt deputāta A.Kulberga iesniegtā priekšlikuma redakciju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[3] Par prēmiju lielumu noteikšanu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Deputāts Ģ.Štekerhofs un Latvijas Apdrošināšanas brokeru asociācija ir iesnieguši priekšlikumu papildināt OCTA likuma 13. pantu ar jaunu trešo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Apdrošinātājam jānodrošina, ka apdrošinātāja noteiktais apdrošināšanas prēmijas apmērs transportlīdzekļa īpašniekam, ņemot vērā arī visas apdrošinātāja piemērotās apdrošināšanas prēmijas atlaides vai citus apdrošināšanas prēmijas apmēra pazeminājumus, transportlīdzekļa īpašniekam tiek noteikts un ir pieejams pilnīgi vienādā apmērā pie jebkura apdrošināšanas izplatītāja.”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jautājumā par prēmiju lielumu noteikšanu notika diskusijas, tomēr Ministru kabinets nevar atbalstīt minēto priekšlikumu. Vēršam uzmanību, ka saskaņā ar Eiropas Parlamenta un Padomes 2009. gada 25. novembra direktīvas 2009/138/EK par uzņēmējdarbības uzsākšanu un veikšanu apdrošināšanas un pārapdrošināšanas jomā (Maksātspēja II) 21. un 181. pantu dalībvalstīm nav atļauts noteikt, ka iepriekš ir jāapstiprina vai sistemātiski jāpaziņo prēmiju likmes, kuras apdrošināšanas sabiedrība nosaka apdrošinājuma ņēmējiem. Līdz ar to apdrošināšanas sabiedrība ir tiesīga brīvi noteikt apdrošināšanas prēmiju apmērus nedzīvības apdrošināšanas jomā, tai skaitā, OCTA jomā. Atbilstoši Apdrošināšanas un pārapdrošināšanas likuma 7. pantam apdrošināšanas sabiedrība izstrādā un apstiprina apdrošinātā riska parakstīšanas un apdrošināšanas prēmijas noteikšanas politiku un procedūru un ir atbildīga par šīs kārtības ievērošanu. Apdrošināšanas prēmiju nosaka tādā apmērā, lai izpildītu apdrošināšanas līgumā paredzētās saistības un segtu apdrošināšanas veikšanai nepieciešamos izdevumus.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Turklāt Ministru kabinets uzskata, ka nav tiesiska pamata liegt apdrošināšanas sabiedrībai veicināt savu pakalpojumu pārdošanu, nosakot, piemēram, dažādas atlaides apdrošināšanas prēmijām, lai izveidotu un piedāvātu klientam izdevīgākus apdrošināšanas pakalpojumus vai šo pakalpojumu komplektus. Papildus šajā jautājumā Ministru kabinets aicina skatīt arī Konkurences padomes 2024. gada 9. jūlija vēstulē Nr. 1.7-1/702  sniegto viedokli, kas pievienots pielikumā.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netika panākta vienošanās par deputāta Ģ.Štekerhofa un Latvijas Apdrošināšanas brokeru asociācija priekšlikumu.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 Par valsts pārvaldes uzdevumu deleģēšanu LTAB</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notika vairākas diskusijas par deleģētajiem valsts pārvaldes uzdevumiem, kā arī no darba grupas locekļiem šī jautājuma diskusijā tika sagatavoti dažādu advokātu biroju izvērtējumi un piedāvāti papildu priekšlikumi vai pilnveidojumi likumprojekta redakcijām. Neskatoties uz papildus saņemto juridisko atbalstu darba grupā netika panākta vienošanās par priekšlikumiem, kas saistīti ar valsts pārvaldes uzdevumu deleģēšanu LTAB.</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[4.1] </w:t>
            </w:r>
            <w:r w:rsidR="00000000" w:rsidRPr="00000000" w:rsidDel="00000000">
              <w:rPr>
                <w:rtl w:val="0"/>
              </w:rPr>
              <w:t xml:space="preserve">Ministru kabinets uzskata, ka LTAB iesniegtie priekšlikumi normu redakcijām attiecībā uz valsts pārvaldes uzdevumu deleģēšanu neatbilst Satversmes tiesas spriedumos un tiesību doktrīnā paustajām atziņām par tiesiskā regulējuma paredzamību un skaidrību. Tā, piemēram, Satversmes tiesa ir norādījusi, ka tiesību normas izdevēja pienākums ir rūpēties par to, lai tiesību norma tiktu formulēta tik nepārprotami, ka to varētu pareizi interpretēt un piemērot, bet indivīds varētu apzināties tās piemērošanas tiesiskās sekas (sk. Satversmes tiesas 2010. gada 19. jūnija sprieduma lietā Nr. 2010-02-01 9.4.2. punktu un 2011. gada 11. maija sprieduma lietā Nr. 2010-55-0106 13.1.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Satversmes tiesa ir atzinusi, ka no Satversmes 92. panta otrajā teikumā  ietvertajām  tiesību  normu  kvalitātes  prasībām  neizriet  tas,  ka  ikvienai tiesību  normai  vajadzētu  būt  formulētai  kā  absolūti  precīzai  instrukcijai  (sk. Satversmes  tiesas  2019. gada  21. februāra sprieduma lietā Nr.2018-10-0103  18.1. punktu). Ņemot vērā tiesisko attiecību mainību vai konkrētās lietas īpašos apstākļus, pārāk kazuistisks tiesiskais regulējums var nebūt taisnīgs. Šāda situācija kļūtu vēl jo vairāk  iespējama,  ja  likumdevējs  tā  vietā,  lai  noteiktu  būtiskākos,  ilgākam  laika posmam piemērojamus noteikumus, sīki aprakstītu katras normas tiesisko sastāvu (sk. Satversmes tiesas 2012. gada 19. decembra lēmuma par tiesvedības izbeigšanu lietā  Nr. 2012-03-01   18.1.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vēršam uzmanību uz tiesību doktrīnā norādīto, ka katrs  likums  un  tiesību  norma  ir  pieņemta konkrētos  vēsturiskos apstākļos,  kuros  meklējama  normas  pieņemšanas  nepieciešamība. Likumdevēja griba  izpaužas  nevis detaļās,  par  ko  katram  var  būt  savs  viedoklis,  bet  kopīgā tendencē. Tā izpaužas, balsojot par likumu kopumā, paļaujoties, ka teksts atbilst nospraustajiem  mērķiem  un  ka  iestādes  un  tiesas,  kuru  pienākums  ir  likumu piemērošana, iztulkos likumu saskaņā ar šiem mērķiem (sk.: Meļķisis E. Tiesību normu iztulkošana. Rīga, Latvijas Universitāte, 1999, 36. – 38.lpp.).</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Tiesiskā regulējuma skaidrības un paredzamības nodrošināšanas jautājumā Ministru kabinets papildus uzsver Satversmes tiesas 2020. gada 24. septembra sprieduma lietā Nr. 2019-22-01 24. punktā norādīto, ka, lai pareizi interpretētu normu un noskaidrotu tās saturu, personai var būt nepieciešamas  specifiskas juridiskas  zināšanas. Taču tiesību  norma  var  būt  pietiekami  skaidra  un  paredzama  arī  tad,  ja  personai  šīs normas  tvēruma  noskaidrošanai  nepieciešama  atbilstoša  juridiskā  palīdzība  (sk., piemēram, Eiropas Cilvēktiesību tiesas 1996. gada  11. novembra sprieduma lietā  „Cantoni v. France”, pieteikums Nr.17862/91, 35. punktu un 2009. gada 25. jūnija sprieduma lietā „Liivik v. Estonia”, pieteikums Nr. 12157/05, 93.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virzot LTAB piedāvāto normu redakcijas, OCTA likumā pēc būtības netiktu skaidri noteikts, ka LTAB pilda vairākus valsts pārvaldes deleģētos uzdevumus OCTA jomā. Aicinām detalizētu pamatojumu un izvērtējumu skatīt Ministru kabineta atbalstītā likumprojekta anotācijā attiecībā uz valsts pārvaldes uzdevumu deleģēšanu LTAB. Papildus argumentācija ir ietverta arī Finanšu ministrijas 2023. gada 27. oktobra vēstulē Nr. 2.1-21/17-2/3209, ar kuru tika iesniegti priekšlikumi likumprojekta 2. lasījumam, kā arī tās pielikumā pievienotajā Tieslietu ministrijas 2023. gada 5. jūnija vēstulē Nr.1-18/1778.</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[4.2] </w:t>
            </w:r>
            <w:r w:rsidR="00000000" w:rsidRPr="00000000" w:rsidDel="00000000">
              <w:rPr>
                <w:rtl w:val="0"/>
              </w:rPr>
              <w:t xml:space="preserve">Latvijas Profesionālo apdrošināšanas brokeru asociācija ierosināja papildināt OCTA likuma 47. pantu ar otro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nevar būt persona, kura: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ir apdrošinātāja darbinieks, valdes loceklis, padomes loceklis;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ir apdrošinātāju intereses pārstāvošu organizāciju darbinieks, valdes loceklis, padomes loceklis;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ir apdrošinātāja patiesā labuma guvējs.”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Latvijas Apdrošināšanas brokeru asociācija ierosināja izteikt OCTA likuma 47.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Transportlīdzekļu apdrošinātāju biroja izpildinstitūcija ir Transportlīdzekļu apdrošinātāju biroja valde. Valdes sastāvā ir valdes priekšsēdētājs un divi valdes locekļi. Transportlīdzekļu apdrošinātāju biroja valdes locekļus konkursa kārtībā izvēlas Finanšu ministrija un amatā ieceļ finanšu ministrs.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var būt persona: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kurai ir profesionālā kvalifikācija un pieredze, kas nepieciešama valdes loceklim noteikto amata pienākumu veikšanai (zināšanām par apdrošināšanas nozari ir jābūt tādām, kuras nepieciešamas Transportlīdzekļu apdrošinātāju biroja darbības raksturam un apjomam);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kurai nav pasludināts fiziskās personas maksātnespējas process vai no tā izbeigšanas dienas ir pagājis vismaz viens gads;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kurai nav sodāmība par tīša nozieguma izdarīšanu pret valsti, īpašumu vai pārvaldības kārtību vai par tīša nozieguma izdarīšanu tautsaimniecībā vai valsts institūciju dienestā, vai par tāda nozieguma izdarīšanu, kas saistīts ar terorismu, vai sodāmība par to ir noņemta vai dzēsta;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4) kurai nav Noziedzīgi iegūtu līdzekļu legalizācijas un terorisma un proliferācijas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proliferācijas finansēšanas novēršanu reglamentējošu normatīvo aktu pārkāpšanu vai no sankcijas piemērošanas dienas ir pagājis vismaz viens gads;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5) kurai nav konstatēti tādi apstākļi, kas nav savienojami ar Transportlīdzekļu apdrošinātāju biroja valdes locekļa amata pienākumu veikšanu;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6) kura nav darba tiesiskajās attiecībās, neieņem jebkādus amatus vai uz līguma pamata nesniedz pakalpojumus kādam no Transportlīdzekļu apdrošinātāju biroja biedriem, vai nav darba tiesiskajās attiecībās, neieņem jebkādus amatus vai uz līguma pamata nesniedz pakalpojumus organizācijai, kurā savu interešu pārstāvībai ir apvienojušies viens vai vairāki Transportlīdzekļu apdrošinātāju biroja biedri;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7) kura pēdējo divu gadu laikā pirms iecelšanas Transportlīdzekļu apdrošinātāju biroja valdes locekļa amatā nav bijusi darba tiesiskajās attiecībās, nav ieņēmusi jebkādus amatus vai uz līguma pamata nav sniegusi pakalpojumus kādam no Transportlīdzekļu apdrošinātāju biroja biedriem, vai nav bijusi darba tiesiskajās attiecībās, nav ieņēmusi jebkādus amatus vai uz līguma pamata nav sniegusi pakalpojumus organizācijai, kurā savu interešu pārstāvībai ir apvienojušies viens vai vairāki Transportlīdzekļu apdrošinātāju biroja biedri.”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Latvijas Profesionālo apdrošināšanas brokeru asociācijas un Latvijas Apdrošināšanas brokeru asociācijas iesniegtie priekšlikumi attiecībā uz LTAB valdes locekļiem nosakāmajām prasībām veidotu pretrunu ar tiesību normu ietvaru, kādā pašlaik darbojas LTAB.</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atbilstoši OCTA likuma 2. pantam likuma mērķis ir aizsargāt ceļu satiksmes negadījumos cietušo trešo personu intereses un reglamentēt tiesiskās attiecības starp transportlīdzekļu īpašniekiem, tiesīgajiem lietotājiem un apdrošinātājiem sakarā ar transportlīdzekļu īpašnieku un tiesīgo lietotāju civiltiesiskās atbildības obligāto apdrošināšanu.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Minētais likuma mērķis ir jāievēro gan apdrošinātājiem, gan LTAB, kuru veido paši apdrošinātāji, veicot likuma normu piemērošanu, lai izmaksātu zaudējumu atlīdzību ceļu satiksmes negadījumos cietušajām personām.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pašlaik OCTA likuma 43. panta nosaka, ka LTAB darbību regulē OCTA likums, bet tā tiesisko statusu nosaka Biedrību un nodibinājumu likums. Vienlaikus OCTA likuma 46. panta pirmā daļa nosaka, ka kopsapulce ir Transportlīdzekļu apdrošinātāju biroja lēmējinstitūcija. Kopsapulci veido visi apdrošinātāji. Saskaņā ar Biedrību un nodibinājumu likuma 35. panta pirmās daļas 2. punktu biedru sapulces kompetencē ietilpst valdes locekļu ievēlēšana un atsaukšana. Papildus ir jāņem vērā Latvijas Republikas Senāta Civillietu departamenta 2021. gada 18. augusta rīcības sēdes lēmumā lietā Nr. SKC-1095/2021 norādīto: “Kā jau tas vairākkārt atzīts judikatūrā (sk., piemēram, Augstākās tiesas Civillietu departamenta 2015. gada 22. septembra sprieduma lietā Nr. SKC-2778/2015 (C15163815) 7. punktu), valdes locekļa amats ir uzticības amats. Uzticība un tās zaudēšana ir subjektīvi faktori, tādēļ tas, vai uzticības zaudēšanai ir bijis objektīvs iemesls un vai valdes loceklim tika paziņots par dalībnieku sapulci, kurā šis jautājums izlemts, nav nekādas ietekmes uz sabiedrības dalībnieku vienbalsīga lēmuma spēkā esību. Tiesa uzticību zaudējušu valdes locekli nevar uzspiest sabiedrībai un tās dalībniekiem pretēji viņu gribai.”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uzsver, ka Latvijas Republikas Satversmes 106. pantā kā viena no cilvēka pamattiesībām ir noteiktas tiesības brīvi izvēlēties nodarbošanos un darbavietu atbilstoši savām spējām un kvalifikācijai. Satversmes tiesa ir norādījusi, ka tiesību brīvi izvēlēties nodarbošanos tvērumā ietilpst tiesības izvēlēties vairākas nodarbošanās un tās vienlaicīgi īstenot. Satversmes 106. panta pirmais teikums neliedz valstij noteikt prasības, kas jāizpilda, lai konkrētu nodarbošanos varētu īstenot. Tiesības brīvi izvēlēties nodarbošanos, tostarp tiesības saglabāt esošo nodarbošanos, var ierobežot, taču attiecīgajam ierobežojumam jāatbilst kādam no Satversmes 116. pantā noteiktajiem leģitīmajiem mērķiem un jābūt samērīgam (sk. Satversmes tiesas 2015. gada 21. decembra sprieduma lietā Nr. 2015-03-01 14.2. un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likumprojektā ir paredzēti citi līdzekļi, kas Satversmes 106. panta noteiktās pamattiesības ierobežo mazāk, proti: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likumprojekts paredz papildināt OCTA likuma 44. pantu ar piekto, sesto un septīto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Transportlīdzekļu apdrošinātāju birojs izstrādā, saskaņo ar Finanšu ministriju un apstiprina interešu konfliktu novēršanas kārtību tā darbībā (tai skaitā valdes locekļu darbībā), kas saistīta ar Transportlīdzekļu apdrošinātāju birojam deleģēto valsts pārvaldes uzdevumu izpildi.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Transportlīdzekļu apdrošinātāju birojs izstrādā un apstiprina šā likuma 39. panta piektajā daļā minēto sūdzību, kā arī ar šajā likumā Transportlīdzekļu apdrošinātāju birojam deleģētajiem valsts pārvaldes uzdevumiem saistīto sūdzību izskatīšanas kārtību, nodrošinot sūdzībā norādīto faktu pārbaudi un interešu konfliktu novēršanu sūdzības izskatīšanā. Transportlīdzekļu apdrošinātāju birojs ir atbildīgs par sūdzību izskatīšanas kārtības ievērošanu. Rakstveida informācija par sūdzību izskatīšanas kārtību ir brīvi pieejama Transportlīdzekļu apdrošinātāju biroja tīmekļvietnē.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(7) Transportlīdzekļu apdrošinātāju birojs regulāri analizē saņemtās sūdzības, izvērtē to iemeslus un cēloņus, kā arī reizi pusgadā rakstveidā informē Finanšu ministriju par izvērtējuma rezultātiem.”;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likumprojekts paredz papildināt OCTA likumu ar 44.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44.</w:t>
            </w:r>
            <w:r w:rsidR="00000000" w:rsidRPr="00000000" w:rsidDel="00000000">
              <w:rPr>
                <w:b w:val="1"/>
                <w:vertAlign w:val="superscript"/>
                <w:rtl w:val="0"/>
              </w:rPr>
              <w:t xml:space="preserve">1</w:t>
            </w:r>
            <w:r w:rsidR="00000000" w:rsidRPr="00000000" w:rsidDel="00000000">
              <w:rPr>
                <w:b w:val="1"/>
                <w:rtl w:val="0"/>
              </w:rPr>
              <w:t xml:space="preserve"> pants. Transportlīdzekļu apdrošinātāju biroja pārraudzības institūcija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Jautājumos, kas saistīti ar šajā likumā Transportlīdzekļu apdrošinātāju birojam deleģētajiem valsts pārvaldes uzdevumiem, Transportlīdzekļu apdrošinātāju birojs atrodas Finanšu ministrijas pārraudzībā.”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Ministru kabinets uzskata, ka Latvijas Profesionālo apdrošināšanas brokeru asociācijas un Latvijas Apdrošināšanas brokeru asociācijas piedāvātais regulējums varētu nesamērīgi ierobežot Latvijas Republikas Satversmes 106. pantā noteiktās cilvēka pamattiesības brīvi izvēlēties nodarbošanos un darbavietu atbilstoši savām spējām un kvalifikācijai.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[4.3] </w:t>
            </w:r>
            <w:r w:rsidR="00000000" w:rsidRPr="00000000" w:rsidDel="00000000">
              <w:rPr>
                <w:rtl w:val="0"/>
              </w:rPr>
              <w:t xml:space="preserve">Balcia Insurance SE (turpmāk - Balcia) ierosina izteikt  44. panta sesto daļu (likumprojekta redakcijā)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Transportlīdzekļu apdrošinātāju birojs saskaņo ar Finanšu ministriju: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statūtus un to grozījumus attiecībā uz deleģēto valsts pārvaldes uzdevumu;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budžeta veidošanas principus attiecībā uz deleģēto valsts pārvaldes uzdevumu;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lēmumus par reorganizāciju, uzņēmuma pāreju vai cita veida darbības restrukturizāciju attiecībā uz deleģēto valsts pārvaldes uzdevumu.”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uzskata, ka atsevišķu saskaņošanas darbību veikšana attiecībā uz LTAB budžeta veidošanu būtu pārmērīga un šīm uzraudzības darbībām nepieciešamais valsts pārvaldes resursu izlietojums nebūtu lietderīgs. Savukārt LTAB reorganizācijas vai cita veida darbības restrukturizācijas jautājumi, kas varētu ietekmēt deleģēto valsts pārvaldes uzdevumu izpildi ir risināmi LTAB statūtos, kuru saskaņošanu ar Finanšu ministriju paredz likumprojekts.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Papildus Ministru kabinets norāda, ka deleģējot valsts pārvaldes uzdevumu, ārējā normatīvajā aktā nosaka iestādi, kuras padotībā atrodas pilnvarotā persona attiecībā uz konkrētā uzdevuma izpildi. Padotību īsteno pakļautības vai pārraudzības formā (Valsts pārvaldes iekārtas likuma 7.panta trešā daļa). Padotības forma ir apjoms, kādā augstāka iestāde var iejaukties zemākas iestādes darbā. Padotības formas ir noteiktas normatīvajā aktā, kas regulē attiecīgās iestādes darbību. Padotības formas izvēle parasti ir atkarīga no tā, cik svarīgi ir nodrošināt tiešu, tostarp politisku kontroli, vai tieši otrādi, to mazināt. Likumā minētās padotības formas – pakļautība un pārraudzība – ir padotības formu “galējības”, un normatīvajos aktos padotības formas parasti ir regulētas niansētāk, un tajos var būt ietverti arī citi padotības nosacījumi (sk. J. Briede, E. Danovskis, A. Kovaļevska “Administratīvās tiesības. Mācību grāmata” – Tiesu namu aģentūra, 2016, Rīga – 57.-58. lpp.).</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likumprojektā ir paredzēts regulējums, nosakot, ka jautājumos, kas saistīti ar OCTA likumā LTAB deleģētajiem valsts pārvaldes uzdevumiem, LTAB atrodas Finanšu ministrijas pārraudzībā. Izvēloties nepieciešamo regulējumu OCTA likumā attiecībā uz LTAB padotības formu, tiek ņemts vērā LTAB deleģēto valsts pārvaldes uzdevumu raksturs, proti, LTAB deleģētie valsts pārvaldes uzdevumi izpildāmi pēc iespējas patstāvīgi, LTAB rīkojoties OCTA likumā noteiktā regulējuma ietvaros. Ministru kabinets uzsver, ka pārraudzība pār LTAB tiek īstenota Valsts pārvaldes iekārtas likumā noteiktajā kārtībā, ņemot vērā Valsts pārvaldes iekārtas likumā 3.panta otrās daļas regulējumu, kas paredz, ka šā likuma noteikumi attiecas arī uz privātpersonu, kura pilda likumā noteiktajā kārtībā tai deleģētos vai ar pilnvarojumu nodotos valsts pārvaldes uzdevumus, kā arī Valsts pārvaldes iekārtas likumā 7.panta piektās daļas regulējumu, kas nosaka, ka pārraudzība nozīmē augstākas iestādes vai amatpersonas tiesības pārbaudīt zemākas iestādes vai amatpersonas lēmuma tiesiskumu un atcelt prettiesisku lēmumu, kā arī prettiesiskas bezdarbības gadījumā dot rīkojumu pieņemt lēmumu.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[4.4]</w:t>
            </w:r>
            <w:r w:rsidR="00000000" w:rsidRPr="00000000" w:rsidDel="00000000">
              <w:rPr>
                <w:rtl w:val="0"/>
              </w:rPr>
              <w:t xml:space="preserve"> Latvijas Profesionālo apdrošināšanas brokeru asociācija ir ierosinājusi noteikt, ka pārraudzība pār jautājumiem, kas saistīti ar LTAB deleģētajiem valsts pārvaldes uzdevumiem, būtu jānodod Latvijas Bankai.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Latvijas Banka veic apdrošināšanas sabiedrību uzraudzību atbilstoši Apdrošināšanas un pārapdrošināšanas likumā un Apdrošināšanas un pārapdrošināšanas izplatīšanas likumā noteiktajam.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 pašlaik Finanšu ministrija sadarbojas ar LTAB politikas veidošanas jautājumos OCTA jomā. Līdz ar to ir lietderīgi turpmāk noteikt kārtību, kas paredz LTAB pārraudzību attiecībā uz  deleģētajiem valsts pārvaldes uzdevumiem veikt Finanšu ministrijai. Nav konstatēti apstākļi, ka šāda pārraudzības kārtība varētu būt mazāk efektīva.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[4.5]</w:t>
            </w:r>
            <w:r w:rsidR="00000000" w:rsidRPr="00000000" w:rsidDel="00000000">
              <w:rPr>
                <w:rtl w:val="0"/>
              </w:rPr>
              <w:t xml:space="preserve"> Latvijas Profesionālo apdrošināšanas brokeru asociācija ierosina izteikt 47. panta trešo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Finanšu ministrija izstrādā un apstiprina prasības Transportlīdzekļu apdrošinātāju biroja valdes locekļu atbilstības un piemērotības novērtēšanai un nosaka: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valdes locekļu atbilstības un piemērotības novērtēšanas kārtību;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valdes locekļiem nepieciešamo zināšanu, prasmju un pieredzes apjomu.”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Latvijas apdrošināšanas brokeru asociācija ierosina izteikt 47.panta trešo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Finanšu ministrija izstrādā un apstiprina prasības Transportlīdzekļu apdrošinātāju biroja valdes locekļu atbilstības un piemērotības novērtēšanai, kas nosaka: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valdes locekļu atbilstības un piemērotības novērtēšanas kārtību;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valdes locekļiem nepieciešamo zināšanu, prasmju un pieredzes apjomu;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interešu konfliktu novēršanas kārtību Transportlīdzekļu apdrošinātāju biroja valdes locekļu darbībā.”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uzsver, ka likumprojektā ir paredzēts izteikt OCTA likuma 47. panta trešo daļu (likumprojekta 12. panta redakcijā)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Transportlīdzekļu apdrošinātāju birojs izstrādā, saskaņo ar Finanšu ministriju un apstiprina kārtību Transportlīdzekļu apdrošinātāju biroja valdes locekļu atbilstības un piemērotības novērtēšanai atbilstoši šā panta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Latvijas Profesionālo apdrošināšanas brokeru asociācija uzskata, ka minētā likumprojekta redakcija paredz, ka LTAB valde pati izstrādā un apstiprina valdes atbilstības un piemērotības kārtību kā arī valdes locekļiem izvirzāmās prasības. Šāds regulējums būtu pretrunā labas pārvaldības principam un radītu interešu konfliktu. Valdes locekļiem izvirzāmo prasību noteikšana būtu jāuztic Finanšu ministrijai vai Latvijas Bankai.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saskaņā ar OCTA likuma 45. un 46. pantu LTAB pārvaldes institūcijas ir kopsapulce un valde. Kopsapulce ir LTAB lēmējinstitūcija. Kopsapulci veido visi apdrošinātāji.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veicot likumprojektā paredzētās normas interpretāciju, no tās izriet, ka LTAB (proti, LTAB kopsapulce un valde) izstrādās kārtības projektu valdes locekļu atbilstības un piemērotības novērtēšanai un iesniegs to Finanšu ministrijai. Finanšu ministrija izvērtēs minētās kārtības projekta atbilstību likumā noteiktajām prasībām un sniegs saskaņojumu, ja minētās kārtības projekts būs izstrādāts atbilstoši likumā noteiktajām prasībām. Tikai pēc Finanšu ministrijas saskaņojuma saņemšanas LTAB kopsapulce apstiprinās minēto kārtību. Līdz ar to Ministru kabinets neuzskata, ka likumprojektā paredzētais regulējums radītu interešu konfliktu vai pārkāptu labas pārvaldības principu.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[5] Personas datu apstrāde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LTAB ierosina OCTA likuma 9.</w:t>
            </w:r>
            <w:r w:rsidR="00000000" w:rsidRPr="00000000" w:rsidDel="00000000">
              <w:rPr>
                <w:vertAlign w:val="superscript"/>
                <w:rtl w:val="0"/>
              </w:rPr>
              <w:t xml:space="preserve">2</w:t>
            </w:r>
            <w:r w:rsidR="00000000" w:rsidRPr="00000000" w:rsidDel="00000000">
              <w:rPr>
                <w:rtl w:val="0"/>
              </w:rPr>
              <w:t xml:space="preserve"> pantā paredzēt, ka LTAB nosūta paziņojumus par līguma izbeigšanos ne tikai tajos gadījumos, kad OCTA apdrošināšanas līgums izbeigts pirms termiņa (kā tas ir spēkā esošajā OCTA likuma 10. pantā minēts), bet arī tajos gadījumos, kad līguma darbības termiņš beidzies, un klients nav noslēdzis jaunu līgumu. LTAB uzskata, ka tādējādi tiktu mazināta iespēja saņemt sodu par transportlīdzekļa izmantošanu ceļu satiksmē bez OCTA līguma, kā arī pasargātu šīs personas no finansiāliem zaudējumiem, ja ceļu satiksmes negadījumā nodarītie zaudējumi būtu jāsedz pašiem autovadītājiem.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līgumus, tai skaitā, OCTA līgumu, noslēdz ar konkrētu, uz līguma noslēgšanu vērstu darbību veikšanu, nevis ar paziņojuma par līguma izbeigšanos nosūtīšanu vai saņemšanu.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Uzsveram, ka OCTA likuma 9.</w:t>
            </w:r>
            <w:r w:rsidR="00000000" w:rsidRPr="00000000" w:rsidDel="00000000">
              <w:rPr>
                <w:vertAlign w:val="superscript"/>
                <w:rtl w:val="0"/>
              </w:rPr>
              <w:t xml:space="preserve">2</w:t>
            </w:r>
            <w:r w:rsidR="00000000" w:rsidRPr="00000000" w:rsidDel="00000000">
              <w:rPr>
                <w:rtl w:val="0"/>
              </w:rPr>
              <w:t xml:space="preserve"> pantā ir ietverts regulējums, kādā tiek paziņots par apdrošināšanas līguma izbeigšanos pirms tajā noteiktā darbības termiņa, ja iestājas OCTA likuma 10. pantā minētie gadījumi. Šādos gadījumos varētu uzskatīt, ka persona objektīvi var nebūt informēta par precīzu līguma izbeigšanās brīdi.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persona, lai, atgādinātu sev par nepieciešamību noslēgt jaunu OCTA līgumu var izmantot tos pašus rīkus, ko tā izmanto, lai atgādinātu sev par citiem ikdienas pienākumiem (piemēram, ieraksts savā plānotājā papīra vai elektroniskā formā, viedierīces laika plānošanas lietotnē).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norādām, ka atbilstoši OCTA likuma 9. panta ceturtajai daļai apdrošināšanas līgums stājas spēkā tā noslēgšanas brīdī vai apdrošināšanas līgumā noteiktajā laikā, bet ne vēlāk kā triju mēnešu laikā pēc tā noslēgšanas. Tādējādi jaunu OCTA līgumu persona var noslēgt jau vismaz mēnesi iepriekš.</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atbilstoši Eiropas Parlamenta un Padomes 2016. gada 27. aprīļa Regulas (ES) 2016/679 par fizisku personu aizsardzību attiecībā uz personas datu apstrādi un šādu datu brīvu apriti un ar ko atceļ Direktīvu 95/46/EK (Vispārīgā datu aizsardzības regula) (turpmāk – Datu regula) 6. panta 1. punktam apstrāde ir likumīga tikai tādā apmērā un tikai tad, ja ir piemērojams vismaz viens no šajā pantā minētajiem pamatojumiem.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OCTA likuma 9.</w:t>
            </w:r>
            <w:r w:rsidR="00000000" w:rsidRPr="00000000" w:rsidDel="00000000">
              <w:rPr>
                <w:vertAlign w:val="superscript"/>
                <w:rtl w:val="0"/>
              </w:rPr>
              <w:t xml:space="preserve">2</w:t>
            </w:r>
            <w:r w:rsidR="00000000" w:rsidRPr="00000000" w:rsidDel="00000000">
              <w:rPr>
                <w:rtl w:val="0"/>
              </w:rPr>
              <w:t xml:space="preserve"> panta pirmā daļa jau šobrīd noteic, ka LTAB apstrādā īpašnieka vai — transportlīdzekļa līzinga gadījumā — transportlīdzekļa reģistrācijas apliecībā norādītā transportlīdzekļa turētāja un apdrošinājuma ņēmēja elektroniskā pasta adresi vai mobilā tālruņa numuru. Tomēr šīs apstrādes nolūks ir paziņošana par apdrošināšanas līguma izbeigšanos pirms termiņa un neizmantotās apdrošināšanas prēmijas vai tās daļas atmaksu.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Fizisko personu datu apstrādes likuma 25. panta trešā daļa noteic, ka datu apstrādē tiek ievēroti Datu regulas 5. pantā noteiktie datu apstrādes principi, arī tie, kuri noteic, ka dati iegūstami konkrētos, skaidros un leģitīmos nolūkos un tikai tādā apmērā, kāds nepieciešams datu apstrādes nolūku sasniegšanai. Datu apstrāde citā nolūkā, nevis tajā nolūkā, kādā dati tika sākotnēji iegūti, ir atļauta, ja šāda datu apstrāde nav aizliegta un ir kāds no Datu regulā noteiktajiem datu apstrādes pamatiem vai datu apstrāde atbilstoši Datu regulai ir savietojama ar sākotnējiem nolūkiem.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attiecībā uz LTAB ierosināto datu apstrādi nepastāv Datu regulas 6. pantā minētie apstrādes pamati (izņemot iespēju saņemt Datu regulas 6. panta 1. punktam “a)” apakšpunktā minēto datu subjekts piekrišanu) un atbilstoši Datu regulai tā nav savietojama ar sākotnējo nolūku. Papildus Ministru kabinets uzskata, ka minēto datu apstrādi jau šobrīd ir iespējams veikt, ja datu subjekts ir devis Datu regulas 6. panta 1. punktam “a)” apakšpunktā minēto piekrišanu savu personas datu apstrādei šādam nolūkam.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Ministru kabinets neatbalsta minēto LTAB ierosinājumu.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LTAB iebildumi par vēstules 4.sadaļu  “Par valsts pārvaldes uzdevumu deleģēšanu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Vairākkārtējās darba grupas sanāksmēs līdz šim nav izdevies rast vienotu izpratni par biedrībai “Latvijas Transportlīdzekļu apdrošinātāju birojs” (LTAB) deleģēto valsts pārvaldes uzdevumu apjomu, tomēr šis jautājums ir ārkārtīgi būtisks sauszemes transportlīdzekļu īpašnieku civiltiesiskās atbildības obligātās apdrošināšanas nozares tālākai sekmīgai darbībai, jo grozījumu tālākā virzība ietekmēs to, kā turpmāk tiks organizēta sauszemes transportlīdzekļu īpašnieku civiltiesiskās atbildības obligātās apdrošināšanas sistēmas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4.1.punktā norādīts, ka “Ministru kabinets uzskata, ka LTAB iesniegtie priekšlikumi normu redakcijām attiecībā uz valsts pārvaldes uzdevumu deleģēšanu neatbilst Satversmes tiesas spriedumos un tiesību doktrīnā paustajām atziņām par tiesiskā regulējuma paredzamību un skaidrību.” LTAB iebilst un paskaidro, ka pretēji norādītajam šādu neskaidrību rada Finanšu ministrijas (FM) piedāvātās redakcijas valsts pārvaldes uzdevumu deleģēšanai LTAB. Minētās redakcijas neatbilst Satversmes tiesas spriedumos un tiesību doktrīnā paustajām atziņām par tiesiskā regulējuma paredzamību un skaidrību, jo</w:t>
            </w:r>
            <w:r w:rsidR="00000000" w:rsidRPr="00000000" w:rsidDel="00000000">
              <w:rPr>
                <w:b w:val="1"/>
                <w:rtl w:val="0"/>
              </w:rPr>
              <w:t xml:space="preserve"> FM nav pēc būtības analizējusi LTAB deleģētos valsts pārvaldes uzdevumus un atbildējusi uz jautājumu, vai tā ir LTAB darbība privāto vai publisko tiesību jomā, kā arī saskaņojusi virzītās tiesību normas ar esošo regulējumu sauszemes transportlīdzekļu īpašnieku civiltiesiskās atbildības obligātās apdrošināšanas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Satversmes tiesas judikatūras izriet, ka likumdošanas procesā jāievēro vispārējie tiesību principi, Satversmē un Saeimas kārtības rullī reglamentētie procesuālie priekšnoteikumi un prasības. Likumdevējam jāizvērtē likumprojektā paredzēto tiesību normu atbilstība augstāka juridiska spēka tiesību normām, tostarp Satversmei, starptautiskajām un Eiropas Savienības tiesību normām, un jāsaskaņo likumprojektā paredzētās tiesību normas un tiesību sistēmā jau pastāvošās tiesību normas atbilstoši racionāla likumdevēja principam (Satversmes tiesas 2019. gada 6. marta spriedums lietā Nr. 2018-11-01 18.1. punkts). Likumdevējam, pieņemot tiesību normu, vienmēr ir jāpārliecinās par tās ietekmi uz pastāvošajām tiesībām (Satversmes tiesas 2005. gada 13. maija sprieduma lietā Nr. 2004-18-0106 20.3.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labas likumdošanas un racionālā likumdevēja principi ierobežo likumdevēja iespējas pieņemt tādas normas, kas neatbilst paša likumdevēja iepriekš radītiem tiesiskā regulējuma pamatprincipiem. Tādēļ arī likumdevēja izvēle, nosakot konkrētu tiesisko attiecību raksturu (publiskas vai privātas), nedrīkst būt patvaļīga. Lemjot par to, vai konkrētam iestādes lēmumam jābūt administratīvajam aktam vai lēmumam privāto tiesību jomā, likumdevējam ir jāņem vērā no tiesību doktrīnas un tiesu prakses izrietošie publiski tiesisko un privāttiesisko attiecību nošķiršanas kritēriji (sal. sk. Danovskis E. Publisko un privāto tiesību dalījuma nozīme un piemērošanas problēmas Latvijā. Rīga: Latvijas Vēstnesis, 2015, 187.lpp).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Senāta 2022. gada 1. februāra lēmumā SKA-564/2022 norādīts, ka </w:t>
            </w:r>
            <w:r w:rsidR="00000000" w:rsidRPr="00000000" w:rsidDel="00000000">
              <w:rPr>
                <w:b w:val="1"/>
                <w:rtl w:val="0"/>
              </w:rPr>
              <w:t xml:space="preserve">“Biedrība ir brīvprātīga personu apvienība un pamatā darbojas privāto tiesību jomā. Publisko tiesību jomā, pildot deleģēto valsts pārvaldes uzdevumu, biedrība darbojas tikai normatīvajos aktos paredzētajos izņēmuma gadījumos. Tātad ir jānošķir biedrības kā iestādes darbība publisko tiesību jomā no biedrības darbības privāto tiesību jomā.”</w:t>
            </w:r>
            <w:r w:rsidR="00000000" w:rsidRPr="00000000" w:rsidDel="00000000">
              <w:rPr>
                <w:rtl w:val="0"/>
              </w:rPr>
              <w:t xml:space="preserve"> Virzot FM piedāvātos grozījumus, faktiski veidojas situācija, ka turpmāk LTAB pildīs tikai valsts pārvaldes deleģētos uzdevumus, par to nesaņemot finansējumu no valsts budžeta, un no līdzšinējiem LTAB pienākumiem neviens vairs nebūs uzskatāms kā LTAB darbība privāto tiesību jomā. Līdz ar to neveidosies šī "izņēmuma situācija", par ko Senāts min savā 2022. gada 1. februāra lēmumā SKA-564/2022, bet gan situācija, kad biedrība lielāko daļu savas darbības veic kā iestāde, jo atbilstoši Valsts pārvaldes iekārtas likuma 3. panta otrajai daļai, veicot deleģēto valsts pārvaldes uzdevumu, biedrībai ir jāievēro Valsts pārvaldes iekārtas likums, administratīvai process,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Galvenais kritērijs pārvaldes uzdevumu nošķiršanai ir tas, vai darbība tiek veikta publisko vai privāto tiesību jomā. Savukārt, apstāklis, ka normatīvais regulējums ar mērķi aizsargāt citu personu vai sabiedrības tiesības un tiesiskās intereses paredz privātpersonai saistošu pienākumu, automātiski nenozīmē, ka personai ir deleģēts valsts pārvaldes uzdevums. Deleģētu valsts pārvaldes uzdevumu veikšana ietver darbību, ko var darīt tikai ar valsts varu apveltīts tiesību subjekts. </w:t>
            </w:r>
            <w:r w:rsidR="00000000" w:rsidRPr="00000000" w:rsidDel="00000000">
              <w:rPr>
                <w:b w:val="1"/>
                <w:rtl w:val="0"/>
              </w:rPr>
              <w:t xml:space="preserve">No Senāta judikatūras izriet kritēriji, kas ir jāņem vērā, vērtējot, vai attiecīgais uzdevums tiek veikts privāto vai publisko tiesību jomā un ir uzskatāms par deleģētiem valsts pārvaldes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darbība notiek privāto tiesību jomā, ja tā tiek veikta saskaņā ar tādu regulējumu, kas ir vienlīdz attiecināms uz citu privātpersonu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apstāklis, ka darbība tiek veikta sabiedrības interesēs un ar to tiek veicināta publiskas personas funkciju izpilde, pats par sevi nenozīmē, ka privātpersona darbojas publisko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apstāklis, ka lieta ir izveidota sabiedrības interešu nodrošināšanai, nenozīmē, ka darbības, kas vērstas uz attiecīgās lietas apsaimniekošanu un pārvaldīšanu, notiek publisko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paredzēts pienākums vienai privātpersonai sniegt informāciju citām privātpersonām automātiski neveido publiski tiesiskas attiecības starp šīm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apstāklis, ka valsts pārvaldes iestāde, uzraugot to, kā privātpersona pilda likumā paredzētus pienākumus, darbojas publisko tiesību jomā, nenozīmē, ka arī privātpersona, pildot attiecīgos pienākumus, darbojas publisko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w:t>
            </w:r>
            <w:r w:rsidR="00000000" w:rsidRPr="00000000" w:rsidDel="00000000">
              <w:rPr>
                <w:b w:val="1"/>
                <w:rtl w:val="0"/>
              </w:rPr>
              <w:t xml:space="preserve">šādi OCTA likumā paredzēti LTAB pienākumi tiek veikti privāto tiesību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Garantijas fonda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izmaksāt no Garantijas fonda līdzekļiem apdrošināšanas atlīdzību šajā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nepieciešamo datu nodošanu sauszemes transportlīdzekļu īpašnieku civiltiesiskās atbildības obligātās apdrošināšanas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sniegt informāciju šā likuma 50. pantā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pildīt Zaļās kartes sistēmas Biroju padomes locekļa pienākumus un Latvijas Republikas Zaļās kartes sistēmas nacionālā biroja pienākumus, slēdzot attiecīgus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Virzot grozījumus FM piedāvātajā redakcijā, izveidosies vēstulē aprakstītā situācija, ka tiesiskais regulējums būs pretrunīgs un neskaidrs. Lai saņemtu izvērstu juridisku izvērtējumu, kas ietvertu arī tiesu prakses analīzi par publisko un privāto tiesību jomā veicamo pienākumu nošķiršanu, LTAB vērsās zvērinātu advokātu birojā “Cobalt” (turpmāk - Cobalt). Tiesiskā regulējuma problēmas ir detalizēti analizētas Cobalt juridiskajā atzinumā, kas pievienots  LTAB 01.08.2024. vēstules Nr.07/02-16/50, kas adresēta FM, pielikumā. Zvērinātu advokātu birojs “Cobalt”, kuram ir ievērojama pieredze konstitucionālo un valsts tiesību jomā, uzskata, ka šos iepriekš pieminētos 5 strīdus pienākumus nevar uzskatīt par LTAB deleģētiem valsts pārvaldes uzdevumiem, jo tie ietver LTAB darbību privāto tiesību jomā turpmāk minēto apsvērumu dēļ. Būtiskākie apsvērumi (iebildumi)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OCTA Garantijas fonds ir vairāk pielīdzināms privātajam ieguldījumu fondam (lietu kopībai) Ieguldījumu pārvaldes sabiedrību likuma izpratnē, nevis valsts administrētajiem publiskajiem fondiem, piemēram, Ārstniecības riska fondam vai Uzturlīdzekļu garantijas fondam. Atšķirības ir it īpaši uzskatāmi redzamas apstāklī, ka Garantijas fonda līdzekļi ir privātpersonu līdzekļi. Savukārt, Ārstniecības riska fonda un Uzturlīdzekļu garantiju fonda līdzekļi uz likuma pamata tiek iekļauti valsts budžetā. Jāņem vērā, ka rīcība ar privātpersonu mantu parasti neietilpst valsts pārvaldes administratīvajos uzdevumos. Neviens normatīvais akts neparedz valsts pārvaldes kompetenci Garantijas fonda izveidošanā vai administrēšanā. Vienīgā OCTA likumā paredzētā valsts pārvaldes kompetence ir Latvijas Bankas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atlīdzību izmaksāšana no Garantijas fonda notiek tieši uz tādiem pašiem noteikumiem kā apdrošināšanas atlīdzības izmaksāšana gadījumos, kad ir noslēgts OCTA līgums. Tātad OCTA likuma regulējums, kas paredz kārtību, kādā LTAB pilda strīdus pienākumu un veic praktiskās darbības apdrošināšanas atlīdzību izmaksāšanai, ir vienlīdz attiecināms arī uz apdrošinātāju darbību. Faktiski tas ietver tieši to pašu darbību veikšanu, ko apdrošinātāji veic savas komercdarbības ietvaros. Līdz ar to apdrošināšanas atlīdzību izmaksāšana no Garantijas fonda ir darbība privāto tiesību jomā. Turklāt,  strīdu izskatīšanas kārtība par pieņemtajiem lēmumiem par apdrošināšanas atlīdzības izmaksu civiltiesiskā kārtībā vēl vairāk apliecina to, ka apdrošināšanas atlīdzību izmaksāšana no Garantijas fonda ir LTAB darbība privāto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OCTA informācijas sistēmu veido gan valsts iestāžu, gan privātpersonu, t.sk. apdrošinātāju, nodota informācija. Nepieciešamo datu nodošana neietver valsts informācijas sistēmas darbības nodrošināšanu. OCTA likuma 59. panta otrā daļa paredz, ka arī apdrošinātājiem ir pienākums nodot datus informācijas sistēmai. Līdz ar to pienākums nodot datus OCTA informācijas sistēmai ir paredzēts gan LTAB, gan apdrošinātājiem. Ņemot vērā to, ka  informācijas nodošana OCTA informācijas sistēmai praksē ietver apdrošinātāju nodoto datu tālāku nodošanu OCTA informācijas sistēmai, datu nodošanu varētu organizēt arī tā, ka to veic katrs apdrošinātājs individuāli, izmantojot savu polišu reģistrēšanas sistēmu, tomēr, lai nodrošinātu operatīvu informācijas pieejamību un racionālu resursu izmantošanu, šī datu apmaiņa tiek īstenota caur LTAB datu apstrādes sistēmu. Datu nodošana OCTA informācijas sistēmai pēc būtības notiek pēc salīdzināmiem noteikumiem kā citām privātpersonām – apdrošinātājiem. Līdz ar to šis apstāklis norāda uz to, ka darbība notiek privāto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Senāts ir nepārprotami secinājis, ka pārvades sistēmas operators, sniedzot likumā paredzēto informāciju citām privātpersonām, neveic valsts pārvaldes uzdevumu. Ja OCTA likuma 50. panta pirmās daļas 1. punktā nebūtu paredzēts, ka šī informācija tiek sniegta centralizēti ar LTAB starpniecību, tad šo informāciju būtu jāsniedz katram apdrošinātājam atsevišķi. Tātad vismaz daļēji šādi informācijas sniegšanas noteikumi būtu vienlīdz piemērojami arī pašiem apdrošinātājiem. Arī šis apstāklis apliecina, ka darbība notiek privāto tiesību jomā. OCTA likuma 50. panta pirmajā daļā paredzētā informācija faktiski ir apdrošinātāju komercdarbības ietvaros iegūtā informācija, kas ir nodota LTAB – t.i., pašu apdrošinātāju izveidotas un pārvaldītas apvienības – rīcībā. Līdz ar to OCTA likuma 50. pants pēc būtības paredz kārtību, kādā apdrošinātāji centralizēti sniedz ar savu komercdarbību saistītu informāciju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ANO Rekomendācijai un OCTA direktīvai zaļās kartes sistēmas nacionālā biroja pienākumus var veikt tikai apdrošinātāju izveidota profesionālā organizācija. Savukārt, Latvijas valsts pienākums ir izpildīts, normatīvajos aktos nosakot profesionālu organizāciju, kura pilda Zaļās kartes sistēmas Biroju padomes locekļa pienākumus, kā arī pienākumu apdrošinātājam kļūt par LTAB biedru, lai varētu izsniegt zaļo karti. Taču paši pienākumi, kurus LTAB pilda Zaļās kartes sistēmas ietvaros, izriet no starptautisko privāttiesību līgumiem un LTAB  dalības starptautiskā biedrībā Zaļās Kartes biroju padomē. Šīs darbības tiek veiktas starptautisko privāttiesību jomā, un tām nepiemīt publiski tiesisks raksturs. Arī pēc būtības tādas darbības kā zaudējumu atlīdzības prasību kārtošana ir pielīdzināmas apdrošinātāju komercdarbībai, nevis valsts pārvaldes administratīvajiem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kā pamatojums tam, ka LTAB pienākumi ir uzskatāmi par deleģētiem pārvaldes uzdevumiem, ir norādīti tikai divi argumenti: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Senāta 2022. gada 1. februāra lēmums lietā Nr. SKA-563/2022;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OCTA direktīvas regulējums, kas paredz dalībvalstu pienākumu nodrošināt Kompensācijas iestādes (OCTA direktīvas 10. pants) un Informācijas centra (OCTA direktīvas 23. pants)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Šāds pamatojums nav pietiekams, lai secinātu, ka LTAB pienākumi ir valsts pārvaldes uzdevumi, kurus LTAB veic publisko tiesību jomā, jo lēmumā lietā Nr. SKA-563/2022 Senāts nav izdarījis nekādus secinājumus par to, vai iepriekš pieminētie LTAB pienākumi (kopā 5) tiek veikti publisko tiesību jomā, lai īstenotu LTAB deleģētu valsts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OCTA direktīvas 10., 23. un citos pantos lietotie formulējumi “dalībvalsts izveido vai pilnvaro iestādi”, “katra dalībvalsts izveido un apstiprina informācijas centru”, u.tml., paši par sevi nenorāda, ka turpmākā darbība, kuru dalībvalstīm ir pienākums noorganizēt un nodrošināt, tiek veikta publisko tiesību jomā, nevis privāto tiesību jomā. Lai to noskaidrotu, ir jānovērtē katra OCTA direktīvā minētā darbība pēc būtības, ievērojot tiesību doktrīnā un tiesu praksē identificētos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Arī Tieslietu ministrijas pieņēmums, ka no Eiropas Savienības Tiesas (EST) sprieduma lietā Farell izriet secinājums, ka uzdevums izmaksāt kompensācijas no Garantijas fonda ir valsts pienākums (valsts funkcija), ko valsts ir nodevusi privātpersonai, ir nepareizs</w:t>
            </w:r>
            <w:r w:rsidR="00000000" w:rsidRPr="00000000" w:rsidDel="00000000">
              <w:rPr>
                <w:rtl w:val="0"/>
              </w:rPr>
              <w:t xml:space="preserve">, jo EST faktiski ir apstiprinājusi, ka OCTA direktīva neuzliek pienākumu dalībvalstīm pašām izmaksāt kompensācijas, bet gan pienākumu organizēt, lai kompensācijas tiktu izmaksātas.  No EST sprieduma lietā Farell nevar izdarīt secinājumu par to, vai strīdus LTAB pienākumi (darbojoties kā Garantijas fondam) tiek veikti publisko tiesību jomā vai privāto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w:t>
            </w:r>
            <w:r w:rsidR="00000000" w:rsidRPr="00000000" w:rsidDel="00000000">
              <w:rPr>
                <w:b w:val="1"/>
                <w:rtl w:val="0"/>
              </w:rPr>
              <w:t xml:space="preserve">Cobalt atzinums satur izvērtējumu par to,  kādas sekas varētu atstāt FM virzītais regulējums</w:t>
            </w:r>
            <w:r w:rsidR="00000000" w:rsidRPr="00000000" w:rsidDel="00000000">
              <w:rPr>
                <w:rtl w:val="0"/>
              </w:rPr>
              <w:t xml:space="preserve">, piem., OCTA likuma regulējums kropļotu līdzšinējo Latvijas tiesību sistēmas izpratni par privāto un publisko tiesību jomu nošķiršanu, FM vajadzības gadījumā nespētu pilnvērtīgi pārņemt LTAB pienākumu izpildi, LTAB pienākumu izpildes ietvaros radītie zaudējumi būtu atlīdzināmi no valsts budžeta līdzekļiem un iesniegumus par zaudējumu atlīdzināšanu būtu jāizskata Finanšu ministrijai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LTAB iebildumi par vēstules 5.sadaļu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9.2 pantu nepieciešams precizēt transportlīdzekļu īpašnieku un tiesīgo lietotāju interesēs (lai viņi neciestu nesamērīgus zaudējumus, ja zaudējumi nodarīti ar neapdrošinātu transportlīdzekli un mazinātu finanšu ietekmi uz garantijas fondu),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Noteiktu, ka LTAB nosūta paziņojumus par līguma izbeigšanos arī tajos gadījumos, kad līguma darbības termiņš beidzies, un klients nav noslēdzis jaunu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Precizētu, ka LTAB paziņojumu par līguma izbeigšanos nosūta uz LR reģistrēto  mobilo tālruņu numuriem. Ja klients būs norādījis LR nereģistrētu mobilo tālruņu numuru, informācija tiks sūtīta uz klienta norādīto e-pasta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Izslēgtu prasību par to, ka dati pēc to nosūtīšanas ir jādzēš. Datu apstrāde notiek atbilstoši Datu regulai (ES) 2016/679 un Fizisko personu datu apstrādes likuma prasībām. Jau šobrīd OCTA likuma 59.panta piektajā daļā ir noteikts, ka apdrošinātājs vai LTAB, iegūstot un apstrādājot fizisko personu datus, ievēro Fizisko personu datu apstrādes likuma prasības. Līdz ar to OCTA likumā nav nepieciešams dublēt Fizisko personu datu apstrādes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Paredzētu, ja apdrošināšanas līguma darbības laikā ir mainījusies klienta sniegtā informācija, apdrošinājuma ņēmējs par to informē apdrošinātāju, kas noslēdzis attiecīgo apdrošināšanas līgumu, bet apdrošinātājs informē LTAB.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Paredzētu, ka klientiem vispirms jāpaziņo apdrošinātājam, un tad attiecīgi apdrošinātājs paziņo LTAB, jo šobrīd klientiem mainās e-pasta adreses un  mobilā tālruņa numuri, un nav skaidrības,  kā tad kurš ir jāinformē, vieni klienti ziņo apdrošinātājiem, citi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likums jau šobrīd paredz minēto datu apstrādi, bet tikai ar nosacījumu, ja līgums izbeidzies pirms termiņa OCTA likumā minētajos gadījumos. Tāpēc LTAB skatījumā, likuma grozījumos paredzētā kārtība būtu saderīga ar pastāvošo datu apstrādes mērķi – datu apstrāde tiek veikta transportlīdzekļu īpašnieku un tiesīgo lietotāju – datu subjektu interesēs, lai viņi neciestu nesamērīgus zaudējumus, nesaņemtu sodu par dalību ceļu satiksmē ar neapdrošinātu auto, nerastos situācija, kad jāatlīdzina  zaudējumi, kas  nodarīti ar neapdrošinātu transportlīdzekli, un mazinātu finanšu ietekmi uz Garantijas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datu apstrādes kārtība nevis palielina, bet tieši mazina datu subjekta tiesību aizskārumu, kas tam var rasties, piedaloties ceļu satiksmē ar neapdrošinātu auto.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šajā situācijā, datu apstrādes tiesisko pamatu nevar balstīt uz Vispārējās datu aizsardzības regulas 6. panta 1.punkta a) apakšpunktu (datu subjekts ir devis piekrišanu savu personas datu apstrādei vienam vai vairākiem konkrētiem nolūkiem), jo LTAB datu subjektu kontaktinformāciju nesaņem pa tiešo no datu subjektiem, tāpēc nebūtu samērīgi un praktiski ieviešama datu subjektu sniegto piekrišanu datu apstrāde. Tāpēc atbilstošākais datu apstrādes pamatojums, mērķa sasniegšanai, būtu Datu regulas 6.panta 1.punkta c) apakšpunkts (apstrāde ir vajadzīga, lai izpildītu uz pārzini attiecināmu juridisku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nevar piekrist vēstulē minētajam apgalvojumam, ka LTAB piedāvāto grozījumu rezultātā tiktu īstenota nesamērīga datu apstrāde, īpaši tāpēc, ka piedāvātās izmaiņas personu datu apstrādē nodrošinās augstāku datu subjektu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tālāk LTAB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piedāvātā redakcija grozījumiem OCTA likuma 9.</w:t>
            </w:r>
            <w:r w:rsidR="00000000" w:rsidRPr="00000000" w:rsidDel="00000000">
              <w:rPr>
                <w:vertAlign w:val="superscript"/>
                <w:rtl w:val="0"/>
              </w:rPr>
              <w:t xml:space="preserve">2 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9.</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pants. Paziņošanai par apdrošināšanas līguma izbeigšanos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Paziņošanai par apdrošināšanas līguma izbeigšanos: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līguma slēgšanas brīdī apdrošinājuma ņēmējs norāda transportlīdzekļa īpašnieka vai — transportlīdzekļa līzinga gadījumā — transportlīdzekļa reģistrācijas apliecībā norādītā transportlīdzekļa turētāja un apdrošinājuma ņēmēja elektroniskā pasta adresi vai Latvijas Republikā reģistrēta mobilā tālruņa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apdrošinātājs šīs daļas 1. punktā minētos datus pēc apdrošināšanas līguma noslēgšanas nosūta Transportlīdzekļu apdrošinātāju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2. un 3.punktā vārdus “mobilā tālruņa” ar vārdiem “Latvijas Republikā reģistrēta mobilā tālruņa”,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Tiklīdz beidzies apdrošināšanas līguma darbības termiņš,  un attiecībā uz transportlīdzekli nav spēkā cits apdrošināšanas līgums, Transportlīdzekļu apdrošinātāju birojs nosūta paziņojumu transportlīdzekļa īpašniekam vai — transportlīdzekļa līzinga gadījumā — transportlīdzekļa reģistrācijas apliecībā norādītajam transportlīdzekļa turētājam un  apdrošinājuma ņēmējam uz tā elektroniskā pasta adresi vai Latvijas Republikā reģistrēta mobilā tālruņa numuru par to, ka apdrošināšanas līguma darbības termiņš ir 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Ja apdrošināšanas līguma darbības laikā ir mainījusies šā panta pirmās daļas 1.punktā sniegtā informācija, apdrošinājuma ņēmējs par to informē apdrošinātāju, kas noslēdzis attiecīgo apdrošināšanas līgumu, bet apdrošinātājs informē Transportlīdzekļu apdrošinātāju biroju.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Konkurences padomes 2024. gada 9. jūlija vēstule Nr. 1.7-1/702. </w:t>
            </w:r>
            <w:fldSimple w:instr=" MERGEFIELD =TAP_NOS_PAK_PIELIKUMI * MERGEFORMAT ">
              <w:r>
                <w:rPr>
                  <w:noProof/>
                </w:rPr>
                <w:t>&lt;&lt;=TAP_NOS_PAK_PIELIKUMI&gt;&gt;</w:t>
              </w:r>
            </w:fldSimple>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pielikumā pievienot arī LTAB 01.08.2024. vēstuli Nr.07/02-16/50 "Par likumprojektu “Grozījumi Sauszemes transportlīdzekļu īpašnieku civiltiesiskās atbildības obligātās apdrošināšanas likumā” (Nr.285/lp14)", kas adresēta Finanšu ministrijai un kurai pielikumā pievienots zvērinātu advokātu biroja “Cobalt” juridiskais izvērtējums, kurā, balstoties uz tiesu praksi, ir analizēts katrs no likumprojekta 9. pantā ietvertajiem uzdevumiem un izdarīti argumentēti secinājumi par konkrēto pienākumu piederību publisko vai privāto tiesību sfērai. Tāpat atzinumā ir sniegti argumenti un izvērtējums par Tieslietu ministrijas iepriekš sniegto viedokli, īpaši attiecībā uz Eiropas Savienības Tiesas spriedumu lietā Farell, C-413/15.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24-TA-1992</w:t>
    </w:r>
    <w:r>
      <w:br/>
    </w:r>
    <w:r w:rsidR="00000000" w:rsidRPr="00000000" w:rsidDel="00000000">
      <w:rPr>
        <w:rtl w:val="0"/>
      </w:rPr>
      <w:t xml:space="preserve">Izdrukāts 04.09.2024. 09.28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24-TA-1992</w:t>
    </w:r>
    <w:r>
      <w:br/>
    </w:r>
    <w:r w:rsidR="00000000" w:rsidRPr="00000000" w:rsidDel="00000000">
      <w:rPr>
        <w:rtl w:val="0"/>
      </w:rPr>
      <w:t xml:space="preserve">Izdrukāts 04.09.2024. 09.28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Atzinumi_24-TA-1992.docx</dc:title>
</cp:coreProperties>
</file>

<file path=docProps/custom.xml><?xml version="1.0" encoding="utf-8"?>
<Properties xmlns="http://schemas.openxmlformats.org/officeDocument/2006/custom-properties" xmlns:vt="http://schemas.openxmlformats.org/officeDocument/2006/docPropsVTypes"/>
</file>