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noteikumi "Farmaceitiskās darbības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"Farmaceitiskās darbības licencēšanas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38.7.3.apakšpunkta izriet, ka pēc projekta 35.1.apakšpunktā minētās atbilstības novērtēšanas pārbaudes Zāļu valsts aģentūras amatpersona sastāda ziņojumu, kurā norāda (</w:t>
            </w:r>
            <w:r w:rsidR="00000000" w:rsidRPr="00000000" w:rsidDel="00000000">
              <w:rPr>
                <w:i w:val="1"/>
                <w:rtl w:val="0"/>
              </w:rPr>
              <w:t xml:space="preserve">ja atbilstību novērtē sakarā ar licences pārreģistrēšanu</w:t>
            </w:r>
            <w:r w:rsidR="00000000" w:rsidRPr="00000000" w:rsidDel="00000000">
              <w:rPr>
                <w:rtl w:val="0"/>
              </w:rPr>
              <w:t xml:space="preserve">) informāciju par uzliktajiem administratīvajiem sodiem par farmaceitiskās vai veterinārfarmaceitiskās darbības normatīvo aktu pārkāpumiem vai narkotisko un psihotropo vielu un zāļu aprites normatīvo aktu pārkāpumiem pēc iepriekšējās pārbaudes, norādot arī amatpersonas, kuras sodītas, un ziņas par naudas soda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62.2.apakšpunkta izriet, ka lēmumu par atteikumu izsniegt vai pārreģistrēt licenci Zāļu valsts aģentūra pieņem, ja konstatēta neatbilstība farmaceitisko vai veterinārfarmaceitisko jomu un narkotisko un psihotropo zāļu un kontrolējamo vielu apriti regulējošajos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63.10.apakšpunkta izriet, ka projekta 52.2.apakšpunktā minēto lēmumu par licences zāļu lieltirgotavas darbībai vai aptiekas darbībai apturēšanu vai par licencē norādītā speciālās darbības nosacījuma apturēšanu Zāļu valsts aģentūra pieņem, ja licences turētājs vai atbildīgās amatpersonas nav samaksājušas naudas sodu, kas uzlikts par farmācijas vai veterinārfarmācijas jomu, narkotisko un psihotropo vielu un zāļu apriti regulējošo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1.pielikuma 18.4.apakšpunktā norādīts, ka Iesniegumam atbilstības novērtēšanai un speciālās atļaujas (licences) izsniegšanai (pārreģistrēšanai) pievieno iesniedzēja apliecinājumu, ka viņa dibinātāji un biedri atbilst Narkotisko un psihotropo vielu un zāļu, kā arī prekursoru likumīgās aprites likuma 11.panta 2.punktā minētajām prasībām (</w:t>
            </w:r>
            <w:r w:rsidR="00000000" w:rsidRPr="00000000" w:rsidDel="00000000">
              <w:rPr>
                <w:i w:val="1"/>
                <w:rtl w:val="0"/>
              </w:rPr>
              <w:t xml:space="preserve">juridiskās personas dibinātāji un biedri, kā arī amatpersonas nav sodītas par noziedzīga nodarījuma izdarīšanu, kā arī nav administratīvi sodītas par pārkāpumiem, kas saistīti ar narkotisko un psihotropo vielu un prekursoru apriti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4.pielikuma 9.8.apakšpunktā norādīts, ka Iesniegumam atbilstības novērtēšanai un speciālās atļaujas (licences) izsniegšanai vai pārreģistrēšanai zāļu lieltirgotavas atvēršanai (darbībai) pievieno iesniedzēja rakstisku apliecinājumu, ka viņa dibinātāji un biedri atbilst Narkotisko un psihotropo vielu un zāļu, kā arī prekursoru likumīgās aprites likuma 11.panta 2.punktā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5.pielikuma 17.punktā norādīts, ka iesniedzot Iesniegumu par speciālās atļaujas (licences) aptiekas atvēršanai (darbībai) izsniegšanu vai pārreģistrēšanu vai par izmaiņām iesniegtajā informācijā un dokumentos persona informē, ka aptiekas vadītājs un aptiekas vadītāja vietnieks (komersants vai komersanta izpildinstitūcijā iesaistītās personas) gada laikā pirms pieteikuma iesniegšanas ir vai nav sodīta par pārkāpumiem saistībā ar farmaceitisko darbību, kā arī par to vai sodāmība ir vai nav noņemta vai dzēsta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Zāļu valsts aģentūra saņems minēto informāciju par personas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Zāļu valsts aģentūra pārbaudītu, vai persona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projekta anotāciju, norādot informācijas par personas iespējamo sodāmību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minēto informāciju paredzēts iegūt no valsts informācijas sistēmā “Sodu reģistrs”, tad tiesiskās skaidrības nodrošināšanai, kā arī, lai Iekšlietu ministrijas Informācijas centrs ievērotu datu apstrādes minimizēšanas principu, sniedzot ziņas par administratīvajiem pārkāpumiem vai noziedzīgiem nodarījumiem, precizēt projektu vai projekta anotāciju, papildus norādot attiecīgo nozari regulējošo likumu un Krimināllikuma pantus, par kuros paredzētajiem administratīvajiem pārkāpumiem un noziedzīgajiem nodarījumiem persona nedrīkst būt sodīta.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17.06.2025.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17.06.2025.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Atzinumi_25-TA-1407.docx</dc:title>
</cp:coreProperties>
</file>

<file path=docProps/custom.xml><?xml version="1.0" encoding="utf-8"?>
<Properties xmlns="http://schemas.openxmlformats.org/officeDocument/2006/custom-properties" xmlns:vt="http://schemas.openxmlformats.org/officeDocument/2006/docPropsVTypes"/>
</file>