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minimālais kopējo attiecināmo izmaksu apmērs nav mazāks par 200 000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2021/1060 53. panta 2. punktam, darbības vai projekti, kas ir daļa no darbības, kuri saņem atbalstu no KF, ERAF vai ESF+ un kuru kopējās izmaksas nepārsniedz </w:t>
            </w:r>
            <w:r w:rsidR="00000000" w:rsidRPr="00000000" w:rsidDel="00000000">
              <w:rPr>
                <w:u w:val="single"/>
                <w:rtl w:val="0"/>
              </w:rPr>
              <w:t xml:space="preserve">EUR 200 000 (ieskaitot)</w:t>
            </w:r>
            <w:r w:rsidR="00000000" w:rsidRPr="00000000" w:rsidDel="00000000">
              <w:rPr>
                <w:rtl w:val="0"/>
              </w:rPr>
              <w:t xml:space="preserve"> visas izmaksas tiek segtas ar vienu vienību, fiksētās summas maksājumu vai vienoto likmju veidā, izņemot darbības, kurām atbalsts kvalificējams kā komercdarbības (izņemot de minimis) atbalsts. Līdz ar to rosinām MK noteikumu projektā veikt redakcionālus precizējumus, piemēram, norādot, "nav mazāks par 200 000 </w:t>
            </w:r>
            <w:r w:rsidR="00000000" w:rsidRPr="00000000" w:rsidDel="00000000">
              <w:rPr>
                <w:i w:val="1"/>
                <w:rtl w:val="0"/>
              </w:rPr>
              <w:t xml:space="preserve">euro </w:t>
            </w:r>
            <w:r w:rsidR="00000000" w:rsidRPr="00000000" w:rsidDel="00000000">
              <w:rPr>
                <w:u w:val="single"/>
                <w:rtl w:val="0"/>
              </w:rPr>
              <w:t xml:space="preserve">ieskaitot".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uzkrāj datus par projekta ietekmi uz horizontālo principu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40.2. apakšpunktu, to izsakot, piemēram, šādā redakcijā, t.sk. precizējot anotāciju, ja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uzkrāj datus par projekta ietekmi uz horizontālo principu rādītājiem (ja attiecināms) un ievēro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40.2.1.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40.2.1.1. objektu skaitu, kuros ar Eiropas Reģionālās attīstības fonda ieguldījumiem ir nodrošināta vides un informācijas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40.2.1.2. veiktā vides un informācijas piekļūstamības pašnovērtējuma rezultātu, atbilstoši Labklājības ministrijas izstrādātajai metodikai un pašnovērtējumā iegūt punktu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40.2.1.3. konsultatīva rakstura pasākumu par būvētās vides piekļūstamību personām ar dažādiem funkcionāliem traucējumiem (piemēram, vides piekļūstamības ekspertu konsultācijas būvprojekta izstrādes un pabeigšanas posmā)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 uzkrāj datus par projekta ietekmi uz horizontālo principu īstenošanu (ja attiecināms) un ievēro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40.3.1.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40.3.2.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40.3.3. nenodarīt būtisku kaitējumu;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Sadarbības iestāde, ja tai ir pieejami valsts budžeta līdzekļi, pamatojoties uz finansējuma saņēmēja rakstisku avansa pieprasījumu un izvērtējot plānotā avansa apmēru, tā pamatojumu un spēju to izlietot deviņu mēnešu laikā (piemēram, projekta iesniedzējam ir pabeigts būvdarbu iepirkums vai noslēgts būvdarbu līgums), var piešķirt finansējuma saņēmējam avansu līdz 50 procentiem no projektam piešķirtā Eiropas Reģionālās attīstības fonda finansējuma pēc vienošanās par projekta īstenošanu noslēgšanas, ievērojot, ka avansa un starpposma maksājumu kopsumma nepārsniedz 90 procentus no projektam piešķirtā Eiropas Reģionālās attīstības fonda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43.punktu, nosakot, ka finansējuma saņēmējs avansa pieprasījumu sagatavo un sadarbības iestāde avansa pieprasījumu apstiprina, ņemot vērā nosacījumu, ka plānotā avansa apmērs, tā pamatojums atbilst spējai to izlietot deviņu mēnešu laikā saimnieciskā 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un sniegt izvērstāku pamatojumu anotācijā par noteikumu projekta 43.punktā noteikto avansa apmēru, ņemot vērā, ka saskaņā ar Eiropas Savienības struktūrfondu un Kohēzijas fonda 2014.-2020.gada plānošanas perioda pieredzi vidēji apstiprinātā avansu summa sasniedza 33,7 % no finansējuma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22-TA-3540</w:t>
    </w:r>
    <w:r>
      <w:br/>
    </w:r>
    <w:r w:rsidR="00000000" w:rsidRPr="00000000" w:rsidDel="00000000">
      <w:rPr>
        <w:rtl w:val="0"/>
      </w:rPr>
      <w:t xml:space="preserve">Izdrukāts 06.04.2023.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22-TA-3540</w:t>
    </w:r>
    <w:r>
      <w:br/>
    </w:r>
    <w:r w:rsidR="00000000" w:rsidRPr="00000000" w:rsidDel="00000000">
      <w:rPr>
        <w:rtl w:val="0"/>
      </w:rPr>
      <w:t xml:space="preserve">Izdrukāts 06.04.2023.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Atzinumi_22-TA-3540.docx</dc:title>
</cp:coreProperties>
</file>

<file path=docProps/custom.xml><?xml version="1.0" encoding="utf-8"?>
<Properties xmlns="http://schemas.openxmlformats.org/officeDocument/2006/custom-properties" xmlns:vt="http://schemas.openxmlformats.org/officeDocument/2006/docPropsVTypes"/>
</file>