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ietekmes uz personu ar invaliditāti vienlīdzīgām iespējām un tiesībām aprakstu atbilstoši LM/TM vadlīnijām, iekļaujot specifiskās un vispārīgās darbības.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īstenotas vispārīgas darbības, kas veicina personu ar invaliditāti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LM metodisko materiālu “Ieteikumi diskrimināciju un stereotipus mazinošai komunikācijai ar sabiedrību”, (pieejams šeit: https://www.lm.gov.lv/lv/metodiskie-materiali);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 un īstenošana notiks personām ar funkcionāliem traucējumiem pielāgotās telpās, tostarp pielāgotas informācijas un komunikāciju tehnoloģijas, ja tas ir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22.08.2023. 09.36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22.08.2023. 09.36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Atzinumi_22-TA-2838.docx</dc:title>
</cp:coreProperties>
</file>

<file path=docProps/custom.xml><?xml version="1.0" encoding="utf-8"?>
<Properties xmlns="http://schemas.openxmlformats.org/officeDocument/2006/custom-properties" xmlns:vt="http://schemas.openxmlformats.org/officeDocument/2006/docPropsVTypes"/>
</file>