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“Braueri-2” Ķekavas pagastā, Ķekavas novadā, daļas nodošanu Ķekavas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(Rob_sit_apgrut_plāns)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(grozījums))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ņemt vērā redakcionālos labojumus anotācijas 1.3.apakšsadaļā.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Nekustamais īpašums paredzēts nodot bez atlīdzības Ķekavas novada pašvaldības īpašumā, lai saskaņā ar Pašvaldību likuma 4. panta pirmo daļu to izmantotu pašvaldības autonomo funkciju īstenošanai.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Nekustamā īpašuma daļu paredzēts nodot bez atlīdzības Ķekavas novada pašvaldības īpašumā, lai saskaņā ar Pašvaldību likuma 4. panta pirmo daļu to izmantotu pašvaldības autonomo funkciju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13.11.2025.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13.11.2025.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