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31. marta noteikumos Nr. 173 "Noteikumi par samazinātās akcīzes nodokļa likmes piemērošanu zvejniecībā izmantojamai dīzeļdegvielai"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uz atkārtoto saskaņošanu veiktās izmaiņas projekta 15. punktā, aicinām pārskatīt un salāgot anotācijā ietverto informāciju ar projekta aktuālo redakciju. Piemēram, bet ne tikai, aicinām precizēt 5.4. sadaļas 1. tabulā ietverto informāciju, ka: "</w:t>
            </w:r>
            <w:r w:rsidR="00000000" w:rsidRPr="00000000" w:rsidDel="00000000">
              <w:rPr>
                <w:i w:val="1"/>
                <w:rtl w:val="0"/>
              </w:rPr>
              <w:t xml:space="preserve">Līdz ar to komersantiem (marķētās degvielas piegādātājiem) tiek sniegts papildus vēl </w:t>
            </w:r>
            <w:r w:rsidR="00000000" w:rsidRPr="00000000" w:rsidDel="00000000">
              <w:rPr>
                <w:i w:val="1"/>
                <w:u w:val="single"/>
                <w:rtl w:val="0"/>
              </w:rPr>
              <w:t xml:space="preserve">11 mēnešu</w:t>
            </w:r>
            <w:r w:rsidR="00000000" w:rsidRPr="00000000" w:rsidDel="00000000">
              <w:rPr>
                <w:i w:val="1"/>
                <w:rtl w:val="0"/>
              </w:rPr>
              <w:t xml:space="preserve"> termiņš, kurā varēs realizēt marķētos naftas produktus, nepiejaucot jauno fiskālo marķieri (butoksibenzolu)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uz iepriekšējo saskaņošanu nodoto projekta redakciju un anotācijā ietverto skaidrojumu par projekta saistību ar Ministru kabineta 2023. gada 14. novembra noteikumiem Nr. 646 "Grozījumi Ministru kabineta 2007. gada 31. jūlija noteikumos Nr. 525 "Kārtība, kādā atsevišķiem naftas produktiem piemēro samazinātu akcīzes nodokļa likmi vai atbrīvojumu no akcīzes nodokļa" (turpmāk - Noteikumi Nr. 646), aicinām izvērtēt iespēju anotācijas 1.3. sadaļā vai izziņā ietvert skaidrojumu, vai projekta 15. un 16. punktā ietvertais regulējums, ņemot vērā tā atšķirības no Noteikumu Nr. 646 4. punkta, neradīs kādas problēmas vai riskus nozarei un komersantiem, ieviešot jauno fiskālo marķieri.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r w:rsidR="00000000" w:rsidRPr="00000000" w:rsidDel="00000000">
              <w:rPr>
                <w:vertAlign w:val="superscript"/>
                <w:rtl w:val="0"/>
              </w:rPr>
              <w:t xml:space="preserve">1</w:t>
            </w:r>
            <w:r w:rsidR="00000000" w:rsidRPr="00000000" w:rsidDel="00000000">
              <w:rPr>
                <w:rtl w:val="0"/>
              </w:rPr>
              <w:t xml:space="preserve"> 29.1 Ja ir pārkāptas regulas 651/2014, zvejniekam ir pienākums iemaksāt valsts budžetā visu saskaņā ar šiem noteikumiem saņemto nelikumīgo valsts atbalsta summu kopā ar procentiem, ko Valsts ieņēmumu dienests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nelikumīgā valsts atbalsta apmēra un nelikumīgā valsts atbalsta procentu summa par saņemto minētā atbalsta apmēru nelikumīgā valsts atbalsta procentu aprēķina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Mn – katrs nelikumīgais valsts atbalsta apmērs euro, kas faktiski saņemts;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 – nelikumīgā valsts atbalsta apmēra saņemšanas gadījumi;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ry – atsauces likme, izteikta procentos, kuru publicē Eiropas Komisija saskaņā ar Komisijas 2004. gada 21. aprīļa Regulas (EK) Nr. 794/2004, ar ko īsteno Padomes Regulu (ES) 2015/1589, ar ko nosaka sīki izstrādātus noteikumus Līguma par Eiropas Savienības darbību 108. panta piemērošanai, 10. pantu un kura bija spēkā brīdī, kad nelikumīgais valsts atbalsta apmērs saņemts, procentiem pieskaitot 100 bāzes punktus;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 – katram saņemtajam nelikumīgajam valsts atbalsta apmēram piemērojamo atsauces likmi pārskata katru gadu un attiecībā uz nākamo periodu piemēro atjaunoto (t + 1) atsauces likmi attiecīgā atbalsta piešķiršanas dienā;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dn – nelikumīgā valsts atbalsta procentu aprēķina periods, izteikts dienās, katram saņemtajam nelikumīgajam valsts atbalsta apmēram.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29.</w:t>
            </w:r>
            <w:r w:rsidR="00000000" w:rsidRPr="00000000" w:rsidDel="00000000">
              <w:rPr>
                <w:vertAlign w:val="superscript"/>
                <w:rtl w:val="0"/>
              </w:rPr>
              <w:t xml:space="preserve">1</w:t>
            </w:r>
            <w:r w:rsidR="00000000" w:rsidRPr="00000000" w:rsidDel="00000000">
              <w:rPr>
                <w:rtl w:val="0"/>
              </w:rPr>
              <w:t xml:space="preserve"> punktā iztrūkst formula. Attiecīgi aicinām tehniski precizēt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1</w:t>
            </w:r>
            <w:r w:rsidR="00000000" w:rsidRPr="00000000" w:rsidDel="00000000">
              <w:rPr>
                <w:rtl w:val="0"/>
              </w:rPr>
              <w:t xml:space="preserve"> Komersants dīzeļdegvielu līdz 2024. gada 30.jūnijam drīkst realizēt zvejniekam Latvijas Republikā, papildus nepievienojot šo noteikumu 12.1. apakšpunktā minēto ķīmisko vielu (fiskālo marķieri), ja iezīmētiem naftas produktiem uz 1000 litriem ir pievienota ķīmiskā viela N-etil-n-[2-(1-izobutoksietoksi)etil]-4-(fenilazo)anilīns (Solvent Yellow 124, CAS Nr. 34432-92-3) – vismaz 6,0 grami, bet ne vairāk kā 9,0 gramu.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tiesiskās skaidrības labad [rojekta 15. punktā norādīt uz </w:t>
            </w:r>
            <w:r w:rsidR="00000000" w:rsidRPr="00000000" w:rsidDel="00000000">
              <w:rPr>
                <w:u w:val="single"/>
                <w:rtl w:val="0"/>
              </w:rPr>
              <w:t xml:space="preserve">marķēto</w:t>
            </w:r>
            <w:r w:rsidR="00000000" w:rsidRPr="00000000" w:rsidDel="00000000">
              <w:rPr>
                <w:rtl w:val="0"/>
              </w:rPr>
              <w:t xml:space="preserve"> dīzeļdegvielu.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23-TA-2484</w:t>
    </w:r>
    <w:r>
      <w:br/>
    </w:r>
    <w:r w:rsidR="00000000" w:rsidRPr="00000000" w:rsidDel="00000000">
      <w:rPr>
        <w:rtl w:val="0"/>
      </w:rPr>
      <w:t xml:space="preserve">Izdrukāts 06.12.2023.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23-TA-2484</w:t>
    </w:r>
    <w:r>
      <w:br/>
    </w:r>
    <w:r w:rsidR="00000000" w:rsidRPr="00000000" w:rsidDel="00000000">
      <w:rPr>
        <w:rtl w:val="0"/>
      </w:rPr>
      <w:t xml:space="preserve">Izdrukāts 06.12.2023.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Atzinumi_23-TA-2484.docx</dc:title>
</cp:coreProperties>
</file>

<file path=docProps/custom.xml><?xml version="1.0" encoding="utf-8"?>
<Properties xmlns="http://schemas.openxmlformats.org/officeDocument/2006/custom-properties" xmlns:vt="http://schemas.openxmlformats.org/officeDocument/2006/docPropsVTypes"/>
</file>