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pasākumiem administratīvā sloga mazināšanai elektronisko sakaru tīkla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"Informatīvais ziņojums par pasākumiem administratīvā sloga mazināšanai elektronisko sakaru tīkla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izteiktos iebildumus ( sk. 3.un 4.iebildumu), norādot, ka, lai lietošanas tiesību aprobežojums atbilstu lietu tiesības būtībai, likumā jāietver tāds regulējums, lai īpašuma tiesību aprobežojums būtu skaidri saprotams, proti, nosakot, kā izpaužas īpašuma tiesību aprobežojums, kādi ir iesaistīto pušu pienākumi, kā un uz cik ilgu laiku šādu aprobežojumu nodibina, kā arī, kā to izbeidz. Projektā norādīts, ka nekustamo īpašumu īpašnieku vai tiesisko valdītāju lietošanas tiesību aprobežojumu apjoms un izmantošanas kārtība elektronisko sakaru tīklu ierīkošanā un būvniecībā noteikta Elektronisko sakaru likumā,  Aizsargjoslu likumā un Civillikumā.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nozaru regulējošie normatīvie akti (Aizsargjoslu likums, Elektronisko sakaru likums) neparedz konkrētu īpašuma tiesību aprobežojuma saturu, bet tikai satur norādi par īpašuma tiesību aprobežojumu, kas nav pietiekami, lai varētu uzskatīt, ka īpašums kaut kādā mērā ir aprobežots. Vēršam uzmanību, ka visām iesaistītajām pusēm ir jābūt pilnīgi skaidram, kādas tiesības un pienākumi viņus saista. Tātad </w:t>
            </w:r>
            <w:r w:rsidR="00000000" w:rsidRPr="00000000" w:rsidDel="00000000">
              <w:rPr>
                <w:u w:val="single"/>
                <w:rtl w:val="0"/>
              </w:rPr>
              <w:t xml:space="preserve">speciālajam regulējumam būtu jābūt ļoti skaidri saprotamam attiecībā uz to, kā izpaužas īpašuma tiesību aprobežojums, kādi ir iesaistīto pušu pienākumi, kā un uz cik ilgu laiku šādu aprobežojumu nodibina, kā arī, kā to izbeidz</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atkārtoti norādām uz nepieciešamību informatīvā ziņojuma projektā atspoguļot, kā tiek saredzēta šī lietu tiesība un attiecīgi jāparedz arī atbilstoša regulējuma iekļaušana Elektronisko sakaru likumā. Ievērojot minēto, lūdzam atbilstoši precizēt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Degle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"Informatīvais ziņojums par pasākumiem administratīvā sloga mazināšanai elektronisko sakaru tīkla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ar terminu "kadastrālā vērtība" saskaņā ar Nekustamā īpašuma valsts kadastra likuma 1. panta 9. punktu saprot pēc vienotiem kadastrālās vērtēšanas principiem noteiktā datumā atbilstoši kadastra datiem noteiktu kadastra objekta vērtību naudas izteiksmē. Kadastrālā vērtība neietver mež­audzes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informatīvā ziņojuma projekta 1.1. sadaļas 11.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17.07.2023.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17.07.2023.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Atzinumi_23-TA-957.docx</dc:title>
</cp:coreProperties>
</file>

<file path=docProps/custom.xml><?xml version="1.0" encoding="utf-8"?>
<Properties xmlns="http://schemas.openxmlformats.org/officeDocument/2006/custom-properties" xmlns:vt="http://schemas.openxmlformats.org/officeDocument/2006/docPropsVTypes"/>
</file>