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4. sadaļā par ES fondu 2021.–2027. gada plānošanas perioda plānoto finansējumu pārdali ar ietekmes izvērtējumu attiecībā uz pozīcijām no kurām finansējums tiek pārdalīts uz jaunām, proti, kā tas ietekmē iepriekš plānotās pozīcijas, kurām finansējums netiks piešķirts un kāds ieguvums būs pozīcijām, kurām finansējums tiks piešķirts - kādi ir plānotie sasniedzamie rezultāti (key performance indicators) un ieguvumi pret kopējām sabiedrības interesēm, kā arī - kā finansējuma pārdale ietekmēs pozīcijas, kurām tas netiks piešķirts – vai to pozīciju plānotie sasniedzamie rezultāti (key performance indicators) tiks finansēti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finansējuma piešķiršanas stratēģiju ir svarīgi apzināt sabiedrības viedokli par plānotajām izmaiņām, kas būtiski var ietekmēt kopējās sabiedrības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plānotās finansējuma pārdales pozīcijas, lūdzam informatīvajā ziņojumā iekļaut aprēķinu par ES fondu līdzfinansējuma apjomu sākotnēji plānotajiem projektiem un projektiem uz kuriem, pārdales rezultātā, finansējums tiek pārcelts.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Sējēja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21.14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24-TA-735</w:t>
    </w:r>
    <w:r>
      <w:br/>
    </w:r>
    <w:r w:rsidR="00000000" w:rsidRPr="00000000" w:rsidDel="00000000">
      <w:rPr>
        <w:rtl w:val="0"/>
      </w:rPr>
      <w:t xml:space="preserve">Izdrukāts 04.04.2024. 21.14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Atzinumi_24-TA-735.docx</dc:title>
</cp:coreProperties>
</file>

<file path=docProps/custom.xml><?xml version="1.0" encoding="utf-8"?>
<Properties xmlns="http://schemas.openxmlformats.org/officeDocument/2006/custom-properties" xmlns:vt="http://schemas.openxmlformats.org/officeDocument/2006/docPropsVTypes"/>
</file>