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Kolektīvās finansēšanas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šā likuma 17. un 18. pantā saistībā ar patērētāju tiesības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Iesniegumus un sūdzības par šā likuma un citu patērētāju tiesību aizsardzības normatīvo aktu pārkāpumiem, ja tie saistīti ar kolektīvās finansēšanas 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norādāms, ka izskatāmo lietu skaits noteiktā datumā ir mainīgs, tomēr tas vidēji ir aptuveni 100-120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PTAC norādīja FM, fiksējot aktīvo lietu skaitu uz 2026. gada 24. aprīli finanšu pakalpojumu jomā, bez parādu ārpustiesas atgūšanas, bija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 Jeb kopumā 97 aktīvas lietas. PTAC arī norādīja, ka līdzīgs izskatāmo lietu skaits, vairāk vai mazāk, sagaidām arī uz 2026.gada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šā likuma 17. un 18. pantā saistībā ar patērētāju tiesības aizsardzības finanšu pakalpojumu jomā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Iesniegumus un sūdzības par šā likuma un citu patērētāju tiesību aizsardzības normatīvo aktu pārkāpumiem, ja tie saistīti ar kolektīvās finansēšanas 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07.05.2026.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07.05.2026.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Atzinumi_26-TA-752.docx</dc:title>
</cp:coreProperties>
</file>

<file path=docProps/custom.xml><?xml version="1.0" encoding="utf-8"?>
<Properties xmlns="http://schemas.openxmlformats.org/officeDocument/2006/custom-properties" xmlns:vt="http://schemas.openxmlformats.org/officeDocument/2006/docPropsVTypes"/>
</file>