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"Notekūdeņu dūņu pārstrāde"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pieejamais finanšu instrumenta finansējums (turpmāk – finansējums) ir 30 000 000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Ministru kabineta 2025.gada 29.aprīļa sēdes protokola Nr. 17 33.§ </w:t>
            </w:r>
            <w:r w:rsidR="00000000" w:rsidRPr="00000000" w:rsidDel="00000000">
              <w:rPr>
                <w:rtl w:val="0"/>
              </w:rPr>
              <w:t xml:space="preserve">trešais punkts paredz: “</w:t>
            </w:r>
            <w:r w:rsidR="00000000" w:rsidRPr="00000000" w:rsidDel="00000000">
              <w:rPr>
                <w:u w:val="single"/>
                <w:rtl w:val="0"/>
              </w:rPr>
              <w:t xml:space="preserve">Klimata un enerģētikas ministrijai līdz 2025. gada 1. oktobrim nodrošināt Metodikas klimata pārmaiņu mazināšanas pasākumu sagatavošanai un izmaksu efektivitātes izvērtējumam Emisijas kvotu izsolīšanas instrumenta ietvaros izstrādi un Emisijas kvotu izsolīšanas instrumenta darbības stratēģijas sagatavošanu</w:t>
            </w:r>
            <w:r w:rsidR="00000000" w:rsidRPr="00000000" w:rsidDel="00000000">
              <w:rPr>
                <w:rtl w:val="0"/>
              </w:rPr>
              <w:t xml:space="preserve"> un noteiktā kārtībā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Klimatnoturības un ekonomiskās ilgtspējas likuma </w:t>
            </w:r>
            <w:r w:rsidR="00000000" w:rsidRPr="00000000" w:rsidDel="00000000">
              <w:rPr>
                <w:rtl w:val="0"/>
              </w:rPr>
              <w:t xml:space="preserve">15. panta pirmā daļa paredz “Klimata un enerģētikas ministrija iesniedz Ministru kabinetam informatīvo ziņojumu par emisijas kvotu izsoļu ieņēmumu izmantošanas stratēģiju, ietverot prioritāros virzienus izsoļu ieņēmumu izmantošanai.”, bet pārejas noteikumu 10. punktā rakstīts “Šā likuma 15. panta pirmajā daļā minēto informatīvo ziņojumu Klimata un enerģētikas ministrija iesniedz izskatīšanai Ministru kabinetā </w:t>
            </w:r>
            <w:r w:rsidR="00000000" w:rsidRPr="00000000" w:rsidDel="00000000">
              <w:rPr>
                <w:u w:val="single"/>
                <w:rtl w:val="0"/>
              </w:rPr>
              <w:t xml:space="preserve">līdz 2026. gada 28. februārim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w:t>
            </w:r>
            <w:r w:rsidR="00000000" w:rsidRPr="00000000" w:rsidDel="00000000">
              <w:rPr>
                <w:u w:val="single"/>
                <w:rtl w:val="0"/>
              </w:rPr>
              <w:t xml:space="preserve"> Ministru kabineta 2026.gada 21.aprīļa sēdes protokola Nr. 22 43. § piektajā punktā </w:t>
            </w:r>
            <w:r w:rsidR="00000000" w:rsidRPr="00000000" w:rsidDel="00000000">
              <w:rPr>
                <w:rtl w:val="0"/>
              </w:rPr>
              <w:t xml:space="preserve">ir norādīts “Klimata un enerģētikas ministrijai </w:t>
            </w:r>
            <w:r w:rsidR="00000000" w:rsidRPr="00000000" w:rsidDel="00000000">
              <w:rPr>
                <w:u w:val="single"/>
                <w:rtl w:val="0"/>
              </w:rPr>
              <w:t xml:space="preserve">līdz 2026. gada 1. jūlijam</w:t>
            </w:r>
            <w:r w:rsidR="00000000" w:rsidRPr="00000000" w:rsidDel="00000000">
              <w:rPr>
                <w:rtl w:val="0"/>
              </w:rPr>
              <w:t xml:space="preserve"> sagatavot un iesniegt izskatīšanai Ministru kabinetā emisijas kvotu izsoļu ieņēmumu izmantošanas stratēģiju, kurā ietvert prioritāros virzienus izsoļu ieņēmumu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nodrošinātu Emisijas kvotu izsolīšanas instrumenta (turpmāk – EKII) finansējuma izlietošanu saskaņā ar EKII ieņēmumu izmantošanas stratēģiju (Klimata un enerģētikas ministrija norādījusi, ka tā ir izstrādē), turpmāka EKII finansējuma izlietošana jāveic pēc EKII ieņēmumu izmantošanas stratēģijas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2026.gada 19.maija sēdes protokola Nr. 28 47. § trešais punkts paredz “Klimata un enerģētikas ministrijai sadarbībā ar Finanšu ministriju līdz 2026. gada 30. decembrim izstrādāt risinājumu, kā Emisijas kvotu izsolīšanas instrumenta finansējums daļēji novirzāms Energoresursu cenu ārkārtēja pieauguma samazinājuma pasākumu likumā noteikto atbalsta pasākumu īstenošanai un ar to administrēšanu saistīto izdevumu segšanai gadījumā, ja 2026./2027. gada apkures sezonā saistībā ar Tuvo Austrumu krīzi iestājas ārkārtējs energoresursu cenu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Jebkuru apstiprināto projekta attiecināmo izmaksu sadārdzinājumu finansējuma saņēmējs sedz no saviem finanšu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viennozīmīgi būtu skaidrs, ka ar finansējuma saņēmēja saviem finanšu līdzekļiem saprotam, tādus līdzekļus, kas brīvi no komercdarbības atbalsta, lūdzam papildināt noteikumu 19. punktu ar piebildi "par kuriem nav saņemts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“Tiesību akta projekta ietekme uz valsts budžetu un pašvaldību budžetiem”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norādītos gadus, jo kārtējais gads ir 2026.gads, attiecīgi precizējot arī norādīto finansējuma sadalījumu pa gadiem, lai informācija sakristu ar 6.punktā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pārskatīt un precizēt sniegto informāciju, lai tā atbilst konkrētajam noteikumu projektam, tai skaitā dzēst norādīto informāciju attiecībā uz valsts budžeta iestādēm, jo saskaņā ar noteikumu projekta 20. un 21.punktu projekta iesniedzēji un finansējuma saņēmēji ir sabiedrisko ūdenssaimniecības pakalpojumu sniedzēji un komersanti, nevis valsts budžeta iestādes, kā arī pārskatīt un precizēt norādīto informāciju 4.rindkopas pēdējā teikumā, jo situācijā, ja projekta īstenotāji nav valsts budžeta iestādes, finansiālai ietekmei uz valsts budžetu nebūtu jāmainās saistībā ar iesniegto un apstiprināto projektu skaita un sadalījuma starp plānošanas reģioniem.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Notekūdeņu dūņu apsaimniekošanas procesa daļa, kas ietver notekūdeņu dūņu apstrādi un pārstrādi, mainot to struktūru, ir sabiedrisks ūdenssaimniecības pakalpojums ar vispārēju tautsaimniecisku nozīmi un sabiedrisko ūdenssaimniecības pakalpojumu sniedzējam komercdarbības atbalsts notekūdeņu dūņu apstrādei un pārstrādei tiek sniegts saskaņā ar Eiropas Komisijas lēmumu Nr. (ES)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15. punktu atbilstoši anotācijā skaidrotajam, ka saskaņā ar Ūdenssaimniecības pakalpojumu likuma 1. panta 9. punktu, notekūdeņu attīrīšanas procesā radušos notekūdeņu dūņu apstrāde, pārstrāde un sagatavošana utilizācijai ir sabiedriskais ūdenssaimniecības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komercdarbības atbalstu sniedz saskaņā ar regulu Nr. 651/2014, ar projekta izmaksām saistītos līgumus slēdz un ar ieguldījumiem saistītos darbus uzsāk pēc projekta iesnieguma iesniegšanas Vides investīciju fondā, tajā skaitā ievērojot regulas Nr. 651/2014 2. panta 23. punktā minēto nosacījumu par darbu sākumu un 6. panta 2. punktā minēto stimulējošās ietekmes prasību. Līgumi, kas var būt noslēgti pirms projekta iesnieguma iesniegšanas Vides investīciju fondā, ir saistīti ar šo noteikumu </w:t>
            </w:r>
            <w:r w:rsidR="00000000" w:rsidRPr="00000000" w:rsidDel="00000000">
              <w:rPr>
                <w:rtl w:val="0"/>
              </w:rPr>
              <w:t xml:space="preserve">27.1.</w:t>
            </w:r>
            <w:r w:rsidR="00000000" w:rsidRPr="00000000" w:rsidDel="00000000">
              <w:rPr>
                <w:rtl w:val="0"/>
              </w:rPr>
              <w:t xml:space="preserve"> un </w:t>
            </w:r>
            <w:r w:rsidR="00000000" w:rsidRPr="00000000" w:rsidDel="00000000">
              <w:rPr>
                <w:rtl w:val="0"/>
              </w:rPr>
              <w:t xml:space="preserve">27.3.</w:t>
            </w:r>
            <w:r w:rsidR="00000000" w:rsidRPr="00000000" w:rsidDel="00000000">
              <w:rPr>
                <w:rtl w:val="0"/>
              </w:rPr>
              <w:t xml:space="preserve"> apakšpunktā minētajām izmaksām. Atbalsta sniedzējs pirms atbalsta piešķiršanas veic atbalsta pretendenta atbilstības izvērtēšanu regulas Nr. 651/2014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pretendenta atbilstība Eiropas komisijas regulas Nr.651/2014* ir jāveic uz atbalsta piešķiršanas brīdi. Aicinām atbilstoši precizēt nolikuma projekta 41.punkta 3. teikumu. Lūdzam skatīt 41. punkta 3. teikuma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Komisijas 2014.gada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  Atbalsta sniedzējs atbalsta pretendenta atbilstības izvērtēšanu atbilstoši regulas Nr. 651/2014 nosacījumiem veic uz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Lēmumu par atbalsta piešķiršanu saskaņā ar regulu Nr. 2023/2831 var pieņemt līdz 2030. gada 30. jūnijam.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Eiorpas Komisijas regulas Nr. 2023/2831* 7. panta 3. punktu un 8. pantu, de minimis atbalstu var piešķirt līdz 2031. gada 30. jūnijam. Aicinām pārliecināties par noteikumu projekta 44. punktā ietvertā termiņa korektumu.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Komisijas 2023.gada 13.decembra Regula (ES) 2023/2831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sadaļas "Komercdarbības atbalsta saņemšanas nosacījumi" norādīto tekstu: "</w:t>
            </w:r>
            <w:r w:rsidR="00000000" w:rsidRPr="00000000" w:rsidDel="00000000">
              <w:rPr>
                <w:i w:val="1"/>
                <w:rtl w:val="0"/>
              </w:rPr>
              <w:t xml:space="preserve">Pasākuma ietvaros komercdarbības atbalsts tiek sniegts trīs formās – atbalsts tiek sniegts kā kompensācija par sabiedriskajiem pakalpojumiem uzņēmumiem, kuriem uzticēts sniegt pakalpojumus ar vispārēju tautsaimniecisku nozīmi</w:t>
            </w:r>
            <w:r w:rsidR="00000000" w:rsidRPr="00000000" w:rsidDel="00000000">
              <w:rPr>
                <w:rtl w:val="0"/>
              </w:rPr>
              <w:t xml:space="preserve">," to papildinot ar vārdiem: "</w:t>
            </w:r>
            <w:r w:rsidR="00000000" w:rsidRPr="00000000" w:rsidDel="00000000">
              <w:rPr>
                <w:i w:val="1"/>
                <w:rtl w:val="0"/>
              </w:rPr>
              <w:t xml:space="preserve">piemērojot Komisijas 2025. gada 16. decembra lēmumu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000000" w:rsidRPr="00000000" w:rsidDel="00000000">
              <w:rPr>
                <w:rtl w:val="0"/>
              </w:rPr>
              <w:t xml:space="preserve">" (turpmāk - VTNP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VTNP lēmumu, atsauce uz to līgumā vairs nav obligāta. Ņemot vērā to, ka arī noteikumu projektā jūs neizvirzāt stingrāku prasību nekā to paredz piemērojamais VTNP lēmums, lūdzam no anotācijas sadaļas "Komercdarbības atbalsta saņemšanas nosacījumi" svītrot norādīto informāciju: "</w:t>
            </w:r>
            <w:r w:rsidR="00000000" w:rsidRPr="00000000" w:rsidDel="00000000">
              <w:rPr>
                <w:i w:val="1"/>
                <w:rtl w:val="0"/>
              </w:rPr>
              <w:t xml:space="preserve">3) atsauce uz Eiropas Komisijas 2025. gada 16. decembra Lēmumu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anotāciju un salāgot tajā norādīto informāciju atbilstoši Eiropas </w:t>
            </w:r>
            <w:r w:rsidR="00000000" w:rsidRPr="00000000" w:rsidDel="00000000">
              <w:rPr>
                <w:rtl w:val="0"/>
              </w:rPr>
              <w:t xml:space="preserve">Komisijas 2025. gada 16. decembra lēmuma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VTNP lēmums) norādītajam, jo, piemēram, anotācijā minētā informācija: "</w:t>
            </w:r>
            <w:r w:rsidR="00000000" w:rsidRPr="00000000" w:rsidDel="00000000">
              <w:rPr>
                <w:i w:val="1"/>
                <w:rtl w:val="0"/>
              </w:rPr>
              <w:t xml:space="preserve">Projekta īstenošanas laikā pašvaldībai kā pilnvarojuma devējam ir pienākums regulāri – </w:t>
            </w:r>
            <w:r w:rsidR="00000000" w:rsidRPr="00000000" w:rsidDel="00000000">
              <w:rPr>
                <w:i w:val="1"/>
                <w:u w:val="single"/>
                <w:rtl w:val="0"/>
              </w:rPr>
              <w:t xml:space="preserve">vismaz reizi trijos gados</w:t>
            </w:r>
            <w:r w:rsidR="00000000" w:rsidRPr="00000000" w:rsidDel="00000000">
              <w:rPr>
                <w:i w:val="1"/>
                <w:rtl w:val="0"/>
              </w:rPr>
              <w:t xml:space="preserve"> un pilnvarojuma perioda beigās – pārskatīt kompensācijas maksājumus, lai pārliecinātos, ka tie atbilst faktiskajām izmaksām un netiek pieļauta pārkompensācija.", </w:t>
            </w:r>
            <w:r w:rsidR="00000000" w:rsidRPr="00000000" w:rsidDel="00000000">
              <w:rPr>
                <w:rtl w:val="0"/>
              </w:rPr>
              <w:t xml:space="preserve">neatbilst VTNP lēmuma 7. panta 1. punktā noteiktajam, ka dalībvalstis veic regulāras pārbaudes </w:t>
            </w:r>
            <w:r w:rsidR="00000000" w:rsidRPr="00000000" w:rsidDel="00000000">
              <w:rPr>
                <w:u w:val="single"/>
                <w:rtl w:val="0"/>
              </w:rPr>
              <w:t xml:space="preserve">vismaz reizi piecos gados</w:t>
            </w:r>
            <w:r w:rsidR="00000000" w:rsidRPr="00000000" w:rsidDel="00000000">
              <w:rPr>
                <w:rtl w:val="0"/>
              </w:rPr>
              <w:t xml:space="preserve"> pilnvarojuma periodā un minētā perioda beigās.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papildināt anotācijas 1.3.sadaļā “Pašreizējā situācija, problēmas un risinājumi” sniegto informāciju par demarkāciju, skaidri ierakstot, ka demarkācija tiks nodrošināta caur konkrētām atbalstāmām darbībām, kas netiks atbalstītas citu atbalsta instrumentu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 (Evita Bāliņa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w:t>
    </w:r>
    <w:r>
      <w:br/>
    </w:r>
    <w:r w:rsidR="00000000" w:rsidRPr="00000000" w:rsidDel="00000000">
      <w:rPr>
        <w:rtl w:val="0"/>
      </w:rPr>
      <w:t xml:space="preserve">Izdrukāts 01.09.2026.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w:t>
    </w:r>
    <w:r>
      <w:br/>
    </w:r>
    <w:r w:rsidR="00000000" w:rsidRPr="00000000" w:rsidDel="00000000">
      <w:rPr>
        <w:rtl w:val="0"/>
      </w:rPr>
      <w:t xml:space="preserve">Izdrukāts 01.09.2026.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Atzinumi_25-TA-205.docx</dc:title>
</cp:coreProperties>
</file>

<file path=docProps/custom.xml><?xml version="1.0" encoding="utf-8"?>
<Properties xmlns="http://schemas.openxmlformats.org/officeDocument/2006/custom-properties" xmlns:vt="http://schemas.openxmlformats.org/officeDocument/2006/docPropsVTypes"/>
</file>