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w:t>
            </w:r>
            <w:r w:rsidR="00000000" w:rsidRPr="00000000" w:rsidDel="00000000">
              <w:rPr>
                <w:vertAlign w:val="superscript"/>
                <w:rtl w:val="0"/>
              </w:rPr>
              <w:t xml:space="preserve">3</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Ekonomikas ministrijas (turpmāk arī EM) precizēto projektu “Grozījumi Dzīvokļa īpašuma likumā” (turpmāk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1.LDDK uztur iebildumu pret Projekta 3.punktu (iepriekšējā saskaņošnas kārtā 2. punkts)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3.punkts paredz Dzīvokļu īpašnieku kopībai pienākumu reģistrēties Valsts ieņēmumu dienestā kā nodokļu maksātājam, ja ieņēmumi pārskata gadā no saimnieciskās darbības pārsniedz divas valstī noteiktās minimālās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šāda reģistrācija ir lieks un nevajadzīgs birokrātiskais šķērslis, kas būtu pieļaujams, ja dzīvokļu īpašnieku kopība saimnieciskās darbības ieņēmumus izņemtu peļņas veidā. Dzīvokļu īpašnieku kopība nav kapitālsabiedrība, kas dibināta peļņas gūšanai, bet tiesību subjekts, kas ir dibināts pavisam citiem mērķiem, kas ir atspoguļoti  Likuma 16. pantā. Savukārt Likuma 15.2 panta trešajā daļā ir noteikts, ka ienākumus, kas gūti no dzīvokļu īpašnieku kopības saimnieciskās darbības, atbilstoši dzīvokļu īpašnieku kopības lēmumam var izmantot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maksājumu veikšanai par pārvaldīšanas darbībām daudzdzīvokļu mājā;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kopības saistību izpildei pret trešām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iemaksai dzīvokļu īpašnieku kopības uzkrājumu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izdevumu segšanai, kas ir saistīti ar tiesību un saistību uzņemšanos, īpašuma un citu lietu tiesību iegūšanu, ja tie skar dzīvokļu īpašnieku kopības kompetencē esošos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saistību izpildei, naudas soda samaksai u. c. pielīdzināmiem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arī tad, ja tiek pieļauts, ka no kopības saimnieciskās darbības gūtais ienākums ir attiecināms uz konkrētiem dzīvokļu īpašniekiem, reģistrācijas nepieciešamība un slieksnis būtu jāattiecina uz katru konkrēto dzīvokļa īpašnieku, kurš šādā veidā pastarpināti ir guvis labumu, ko valsts varētu traktēt kā ienākumus, no kuriem valsts varētu paņemt nodokļus. Tomēr jānorāda, ka administrēšanas izmaksas, visdrīzāk, varētu pārsniegt valsts iespējamo guvumu. Piemēram, ja 10, 20, 50 vai 75 dzīvokļu mājas Dzīvokļu īpašnieku kopības ienākums no saimnieciskās darbības ir 1500 euro gadā, ko šī kopība nolemtu izņemt peļņas veidā, tad uz katru dzīvokli ienākums būtu no  20 līdz 150 euro gadā vai 1,7 līdz 11,5 euro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kopībai ir pienākums atklāt un paziņot tās patieso labuma guvēju, kā arī šīs ziņas glabāt un aktualizēt, ievērojot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un aktualizē,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kopību nepārstāv pārvaldnieks un dzīvokļu īpašnieku kopība nav pilnvarojusi citu personu to pārstāvēt, dzīvokļu īpašnieku kopību attiecībā uz šajā pantā noteiktajiem pienākumiem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5.punktu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5.punktā EM piedāvā papildināt Likumu ar 15.5 pantu, kas pienākumu veikt dzīvokļu īpašnieku kopības  patieso labuma guvēju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Dzīvokļu īpašnieku kopība nav pielīdzināma tādai juridiskai personai, uz kuru būtu attiecināms pienākums veikt administratīvās procedūras patieso labuma guvēju atklāšanai un paziņošanai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Dzīvokļu īpašnieku kopība nav kapitālsabiedrība, kas dibināta peļņas gūšanai, bet pavisam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īpašumos sadalītas mājas dzīvokļu īpašnieki nav pat kopīpašnieki Civillikuma izpratnē, bet katrs sava konkrētā dzīvokļa īpašnieks, sev piederošajam dzīvoklim piekritīgās un šī likuma 4.pantā minētās kopīpašuma daļas domājamās daļas kopīpašnieks. Turklāt, šī domājamā daļa nav patstāvīgs, no dzīvokļa neatkarīgs īpašums (skat. Likuma 2.pantu).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15.2 panta pirmo daļu, Dzīvokļu īpašnieku kopības manta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dzīvokļu īpašnieku samaksātie un pakalpojumu sniedzējiem vēl nenodotie līdzekļi maksājumu par mājas uzturēšanai nepieciešamajiem pakalpojumiem (komunālie pakalpojumi)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dzīvokļu īpašnieku veiktās iemaksas uzkrājumu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prasījuma tiesības pret dzīvokļu īpašniekiem par maksājumiem par pārvaldīšanas darbībām daudzdzīvokļu mājā (pārvaldīšanas izdevumi), maksājumiem par mājas uzturēšanai nepieciešamajiem pakalpojumiem (komunālie pakalpojumi) un maksājumiem dzīvokļu īpašnieku kopības uzkrājumu fondā (uzkrājumi) un prasījumi pret trešām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iegūta kustama un nekustama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kompetence ir ierobežota (skat. Likuma 16.pantu);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Ienākumus, kas gūti no dzīvokļu īpašnieku kopības saimnieciskās darbības, nevar izņemt peļņas veidā, bet var izmantot tikai Likuma 15.2 panta trešajā daļā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kā arī to, ka saskaņā ar Likuma 15.2 panta otro daļu Dzīvokļu īpašnieku kopības sastāvā esošo dzīvokļu īpašnieku maiņa neietekmē mantas piederību dzīvokļu īpašnieku kopībai, Dzīvokļu īpašnieku kopība nav pielīdzināma tādai juridiskai personai, uz kuru būtu attiecināms pienākums veikt administratīvās procedūras patieso labuma guvēju atklāšanai un paziņošanai.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07.03.2025.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07.03.2025.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