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elektroenerģijas pārvades sistēmas operators vai vienotais dabasgāzes pārvades un uzglabāšanas sistēmas operators (turpmāk – vienotais dabasgāzes sistēmas operators) konstatē valsts enerģētiskās krīzes iestāšanās apstākļus, tie nekavējoties informē par enerģētiku atbildīgo ministriju (turpmāk – Ministrija) un attiecīgās nozares sadales sistēmas operatorus par nepieciešamību ierobežot elektroenerģijas vai dabasgāzes patēriņu, lai nodrošinātu elektroenerģijas sistēmas vai dabasgāzes apgādes sistēmas stabilu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daudzviet noteikumu projektā ir lietots nepareizs termins “vienotais dabasgāzes sistēmas operators” un lūdz Ministriju visā noteikumu projektā lietot Enerģētikas likumā lietoto terminu – vienotais dabasgāzes pārvades un uzglabāšanas sistēmas operators.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Pamatojoties uz elektroenerģijas pārvades sistēmas operatora sniegto informāciju par elektroenerģijas patēriņa samazināšanas nepieciešamību vai vienotā dabasgāzes sistēmas operatora sniegto informāciju par dabasgāzes patēriņa samazināšanas nepieciešamību, dabasgāzes sadales sistēmas operatora sniegto informāciju par dabasgāzes lietotāju vidējo diennakts patēriņu atbilstoši šo noteikumu </w:t>
            </w:r>
            <w:r w:rsidR="00000000" w:rsidRPr="00000000" w:rsidDel="00000000">
              <w:rPr>
                <w:rtl w:val="0"/>
              </w:rPr>
              <w:t xml:space="preserve">29. </w:t>
            </w:r>
            <w:r w:rsidR="00000000" w:rsidRPr="00000000" w:rsidDel="00000000">
              <w:rPr>
                <w:rtl w:val="0"/>
              </w:rPr>
              <w:t xml:space="preserve">punktam</w:t>
            </w:r>
            <w:r w:rsidR="00000000" w:rsidRPr="00000000" w:rsidDel="00000000">
              <w:rPr>
                <w:rtl w:val="0"/>
              </w:rPr>
              <w:t xml:space="preserve"> un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Ministrija saskaņo valsts enerģētiskās krīzes izsludināšanu ar Valsts enerģētiskās krīzes centru (turpmāk - Centrs), sagatavo attiecīgu rīkojuma projektu un par enerģētiku atbildīgais ministrs iesniedz to apstiprināšanai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cita starpā ir minēts, ka Klimata un enerģētikas ministrija (turpmāk – Ministrija) saskaņo valsts enerģētiskās krīzes izsludināšanu ar Valsts enerģētiskās krīzes centru (turpmāk - VEKC) pirms iesniegšanas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"Conexus Baltic Grid" (turpmāk - Sabiedrība) 2011. gada 19. aprīļa Ministru kabineta noteikumu Nr. 312 “Enerģijas lietotāju apgādes un kurināmā pārdošanas kārtība izsludinātas enerģētiskās krīzes laikā un valsts apdraudējuma gadījumā” pārskatīšanas procesā ir aicinājusi Ministriju kritiski izvērtēt VEKC lomu enerģētisko krīžu pārvaldībā, iespēju robežās pārveidojot VEKC par konsultatīvu un informācijas apmaiņas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noteikumu projekta aktuālo redakciju, Sabiedrība konstatē, ka ne tikai Sabiedrības iebildums nav ņemts vērā, bet aktuālā noteikumu projekta redakcija paredz virkni jaunu lēmumu un pasākumu, kuros iesaistīts VEKC. Sabiedrība atkārtoti uzsver, ka papildus procesa dalībnieka – VEKC – iekļaušana lēmumu pieņemšanas ķēdē aizkavē enerģētiskās krīzes pārvaldību kritiskā laikā un aicina visā noteikumu projektā atkārtoti izvērtēt, vai VEKC nebūtu iesaistāms pēc lēmumu pieņemšanas fakta un izmantojums kā centrs informācijas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apgādē apstākļi, kad kas liecina par enerģētisko krīzi dabasgāzē, ir noteikti 2017. gada 25. oktobra regulas Nr. 2017/1938 par gāzes piegādes drošības aizsardzības pasākumiem un ar ko atceļ Regulu Nr. 994/2010 (turpmāk – SOS regula) 11. pantā, Enerģētikas likumā, kā arī Latvijas Ārkārtas rīcības plānā dabasgāzei, un tos konstatējot Ministru Kabinetam jālemj par attiecīgā krīzes līmeņa izsludināšanu un nav skaidra VEKC saskaņojuma būtība un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Sabiedrībai nav skaidrs, kā VEKC dalībnieku vidū tiktu risinātas iespējamas domstarpības par šo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Ministriju noteikumu projekta 6. punktā dzēst norādi uz VEKC saskaņojumu enerģētiskās krīzes izsludināšanas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valsts enerģētiskās krīzes izsludināšanas Centrs, izmantojot plašsaziņas līdzekļus, informē sabiedrību par valsts enerģētisko krīzi un par tās laikā īstenojamiem pasākumiem. Centrs var lemt par citu sabiedrības informēšanas veidu un 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cita starpā, ir noteikts, ka pēc valsts enerģētiskās krīzes izsludināšanas VEKC, izmantojot plašsaziņas līdzekļus, informē sabiedrību par valsts enerģētisko krīzi un par tās laikā īstenojamiem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ka nav skaidrs, kāpēc sabiedrības apziņošana ar plašsaziņas līdzekļu starpniecību ir uzticēta VEKC, nevis Klimata un enerģētikas ministrijai vai Ministru kabinetam, kuriem ir būtiska pieredze un resursi darbam ar plašsaziņas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Klimata un enerģētikas ministriju skaidrot, kāpēc Latvijas sabiedrības informēšanu par izsludināto enerģētisko krīzi un tās ietvaros veicamajiem pasākumiem jāuztic tieši VEKC.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izsludinātās valsts enerģētiskās krīzes atcelšanu Ministrija, pamatojoties uz elektroenerģijas pārvades sistēmas operatora vai vienotā dabasgāzes sistēmas operatora sniegto informāciju par sistēmas stāvokli un  elektroenerģijas vai dabasgāzes piegāžu apjomiem, stabilitāti un drošību, sagatavo Ministru kabineta rīkojuma projektu, saskaņo to ar Centru un par enerģētiku atbildīgais ministrs iesniedz to apstiprināšanai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cita starpā, ir noteikts, ka Ministru kabineta rīkojuma projektu par valsts enerģētiskās krīzes atcelšanu Ministrija, pirms iesniegšanas apstiprināšanai Ministru kabinetā, saskaņo ar VEKC.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ka no noteikumu projekta netop skaidrs, kādu pienesumu VEKC saskaņojums dod enerģētiskās krīzes atcelšanas procesā, tādēļ Sabiedrība aicina Ministriju no noteikumu projekta 9. punkta svītrot norādi uz VEKC saskaņojumu.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Apgādes ar dabasgāzi kārtība valsts enerģētiskās krīzes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un V nodaļā ir iekļauts regulējums par apgādi ar dabasgāzi enerģētiskās krīzes laikā un dabasgāzes stratēģisko rezervju izmantošanu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jau iepriekš vērsusi Ministrijas uzmanību uz apstākli, ka SOS regulas 11. panta pirmajā daļā ir noteikti trīs enerģētiskās krīzes līmeņi: agrīnā brīdināšana, trauksme un ārkārtas stāvoklis. Ņemot vērā, ka 2011. gada 19. aprīļa Ministru kabineta noteikumu “Enerģijas lietotāju apgādes un kurināmā pārdošanas kārtība izsludinātas enerģētiskās krīzes laikā un valsts apdraudējuma gadījumā” normas par enerģētisko krīzi paredz dabasgāzes patēriņa ierobežošanu un dabasgāzes rezervju izmantošanu, tie ir piemērojami trešā līmeņa enerģētiskās krīzes – ārkārtas stāvokļa –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Sabiedrība aicina Ministriju noteikumu projekta IV nodaļā lietot terminoloģiju, kas atbilst SOS regulā lietotajai terminoloģijai un saukt enerģētisko krīzi dabasgāzē par ārkārtas stāvokli apgādē ar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enerģētiskās krīzes dabasgāzes nozarē pārvarēšanai dabasgāzes lietotāji tiek iedalīti četrās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punktā, cita starpā, ir paredzēts dabasgāzes lietotāju sadalījums četrās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2023. gada 9. februāra atzinumā Nr. COR-N-2023/0631 par iepriekšējo 2011. gada 19. aprīļa Ministru kabineta noteikumu Nr. 312 “Enerģijas lietotāju apgādes un kurināmā pārdošanas kārtība izsludinātas enerģētiskās krīzes laikā un valsts apdraudējuma gadījumā” redakciju aicināja Ministriju pārskatīt enerģijas lietotāju sadalījumu trīs grupās, pēc iespējas pielāgojot noteikumu projekta regulējumu citu Baltijas jūras reģiona valstu praksei, kā arī pēc iespējas sadalot enerģijas lietotājus vairāk, bet mazākās grupās, kas atvieglotu enerģijas patēriņa piespiedu samazināšanu ārkārtas stāvokļa enerģētikā laikā, jo, saskaņā ar Sabiedrībai pieejamo informāciju, dabasgāzes sadales sistēmas operators akciju sabiedrība “Gaso” nav tehnoloģiski spējīga daļēji ierobežot dabasgāzes lietotāja patēriņu piespiedu kārtā un ir iespējama tikai dabasgāzes lietotāja pilnīga atslēgšana, savukārt jebkāds dabasgāzes lietotāja patēriņa daļējs samazinājums ir iespējams tikai tad, ja dabasgāzes lietotājs pats labprātīgi samazina patēriņu. Ja dabasgāzes lietotāji noteikumu projekta 22. punktā būtu sadalīti lielākā skaitā mazāku grupu, tad arī dabasgāzes lietotāju piespiedu atslēgšanas gadījumā iespējams elastīgi pielāgot atslēgtā patēriņa apjomu jebkādam iztrūkumam Latvijas apgādē ar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lai gan noteikumu projektā ir palielināts enerģijas lietotāju grupu skaits (trīs grupu vietā paredzētas četras), grupas vēl arvien ir apjomīgas. Sabiedrība atkārtoti aicina Ministriju pārskatīt noteikumu projekta 22. punktā paredzēto enerģijas lietotāju sadalījumu grupās, paredzot lielāku skaitu grupu, kurās ir mazāk dabasgāzes lietotāju katrā.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pirmās grupas dabasgāzes lietotāji (turpmāk – nodrošināmie lietotāji) – mājsaimniecības, izglītības iestādes, slimnīcas, valsts un pašvaldību ilgstošas sociālās aprūpes un sociālās rehabilitācijas institūcijas, krīzes centri, avārijas dienesti, telekomunikāciju mezgli, Neatliekamās medicīniskās palīdzības dienests, Valsts ugunsdzēsības un glābšanas dienests, Nacionālie bruņotie spēki, Valsts policija, Valsts robežsardze, valsts drošības iestādes, ūdensapgādes un kanalizācijas stacijas, brīvības atņemšanas iestādes, mobilizējamie civilās aizsardzības formējumi un komersanti, kuru gazificēto objektu maksimālā atļautā slodze ir mazāka vai vienāda ar 25 m</w:t>
            </w:r>
            <w:r w:rsidR="00000000" w:rsidRPr="00000000" w:rsidDel="00000000">
              <w:rPr>
                <w:vertAlign w:val="superscript"/>
                <w:rtl w:val="0"/>
              </w:rPr>
              <w:t xml:space="preserve">3</w:t>
            </w:r>
            <w:r w:rsidR="00000000" w:rsidRPr="00000000" w:rsidDel="00000000">
              <w:rPr>
                <w:rtl w:val="0"/>
              </w:rPr>
              <w:t xml:space="preserve">/h;</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22.1. apakšpunktā ir noteikts, ka starp pirmās grupas dabasgāzes lietotājiem – nodrošināmajiem lietotājiem, ir skaitāmi arī komersanti, kuru gazificēto objektu maksimālā atļautā slodze ir mazāka vai vienāda ar 25 m</w:t>
            </w:r>
            <w:r w:rsidR="00000000" w:rsidRPr="00000000" w:rsidDel="00000000">
              <w:rPr>
                <w:vertAlign w:val="superscript"/>
                <w:rtl w:val="0"/>
              </w:rPr>
              <w:t xml:space="preserve">3</w:t>
            </w:r>
            <w:r w:rsidR="00000000" w:rsidRPr="00000000" w:rsidDel="00000000">
              <w:rPr>
                <w:rtl w:val="0"/>
              </w:rPr>
              <w:t xml:space="preserve">/h.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apgādes nozarē, nosakot dabasgāzes lietotāju dalījumu grupās, jāņem vērā SOS regula, kuras 2. panta 5. punktā ir noteikts, ka “Aizsargājams lietotājs” ir mājsaimniecības lietotājs, kas ir pieslēgts gāzes sadales tīklam, un, ja attiecīgā dalībvalsts tā izlemj, tas turklāt var būt arī viens vai vairāki no turpmāk minētajiem, ar noteikumu, ka uzņēmumi vai pakalpojumi, kas minēti a) un b) apakšpunktā, kopā neveido vairāk kā 20 % no kopējā gāzes galapatēriņa gadā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mazais vai vidējais uzņēmums ar noteikumu, ka tas ir pieslēgts gāzes sadales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būtisku sabiedrisko pakalpojumu sniedzējs ar noteikumu, ka tas ir pieslēgts gāzes sadales vai pārvades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centralizētās siltumapgādes mezgls, ciktāl tas piegādā siltumu mājsaimniecību lietotājiem, mazajiem vai vidējiem uzņēmumiem vai būtisku sabiedrisko pakalpojumu sniedzējiem, ar noteikumu, ka šo mezglu nevar pārslēgt uz citu kurināmo kā gāze.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attiecībā uz dabasgāzes lietotāju pirmajā grupā iekļautajiem komersantiem aicina noteikumu projekta virzītāju pārliecināties, ka tie komersanti, kas tiks iekļauti pirmajā dabasgāzes lietotāju grupā, un noteikumu projekta 22.1. apakšpunktā uzskaitītie būtiskie sabiedriskie pakalpojumi kopā nepatērē vairāk nekā 20% no Latvijas kopējā gāzes galapatēriņa gadā, un ka visi komersanti, kas iekļauti noteikumu projekta 22.1. apakšpunktā ir mazi vai vidēji uzņēmumi, kas ir pieslēgti sadales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Vienotais dabasgāzes sistēmas operators un dabasgāzes sadales sistēmas operators izstrādā un elektroniska dokumenta formā iesniedz Ministrijā atbilstoši dabasgāzes lietotāju grupai dabasgāzes patēriņa ierobežošanas vai pārtraukšanas rīcības plānu valsts enerģētiskās krīzes laikā (turpmāk – plāns) un pirmās, otrās un trešās grupas dabasgāzes lietotāju sarakstu. Minētā informācija atjaunojama pēc nepieciešamības, bet ne retāk kā reizi trīs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ir paredzēts, ka vienotais dabasgāzes sistēmas operators un dabasgāzes sadales sistēmas operators izstrādā un elektroniska dokumenta formā iesniedz Ministrijā atbilstoši dabasgāzes lietotāju grupai dabasgāzes patēriņa ierobežošanas vai pārtraukšanas rīcības plānu valsts enerģētiskās krīzes laikā. Savukārt noteikumu projekta 25. punktā, cita starpā, ir paredzēts, ka 23. punktā minētajā rīcības plānā jānosaka kārtība, kādā tiek ierobežots vai pārtraukts dabasgāzes patēriņš otrajai un trešajai dabasgāzes lietotāju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ka ja dabasgāzes lietotājs labprātīgi nesamazina dabasgāzes patēriņu pēc tam, kad ir izsludināta enerģētiskās krīze dabasgāzē, tad tai nav citu tehnoloģisku rīku, kā vien pilnībā atslēgt dabasgāzes piegādes uz pārvades sistēmai pieslēgto gazificēto objektu. Saskaņā ar Sabiedrībai pieejamo informāciju, arī dabasgāzes sadales sistēmas operatoram akciju sabiedrībai “Gaso” nav pieejami tehnoloģiski rīki, lai daļēji ierobežotu dabasgāzes lietotāja dabasgāzes patēriņu pret attiecīgā dabasgāzes lietotāja gribu – tikai pilnīga dabasgāzes piegādes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30.-35. punkts jau paredz kārtību, kādā dabasgāzes lietotājs labprātīgi samazina patēriņu, kārtību dabasgāzes piegādes pārtraukšanai patēriņa ierobežojumu pārkāpšanas gadījumā, un piegādes pārtraukšanas atcelšanas kārtību, tādēļ nav skaidrs, kādi pasākumi būtu jāiekļauj noteikumu projekta 23. un 25. punktā paredzētajā lietotāju grupas dabasgāzes patēriņa ierobežošanas vai pārtraukšanas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Ministriju noteikumu projektā precizēt noteikumu projekta 23. un 25. punktā paredzētā rīcības plāna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Izstrādājot plānu, tiek ņemtas vērā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ir paredzēts, ka vienotais dabasgāzes sistēmas operators un dabasgāzes sadales sistēmas operators izstrādā un elektroniska dokumenta formā iesniedz Ministrijā atbilstoši dabasgāzes lietotāju grupai dabasgāzes patēriņa ierobežošanas vai pārtraukšanas rīcības plānu valsts enerģētiskās krīzes laikā. Savukārt noteikumu projekta 25. punktā, cita starpā, ir paredzēts, ka 23. punktā minētajā rīcības plānā jānosaka kārtība, kādā tiek ierobežots vai pārtraukts dabasgāzes patēriņš otrajai un trešajai dabasgāzes lietotāju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ka ja dabasgāzes lietotājs labprātīgi nesamazina dabasgāzes patēriņu pēc tam, kad ir izsludināta enerģētiskās krīze dabasgāzē, tad tai nav citu tehnoloģisku rīku, kā vien pilnībā atslēgt dabasgāzes piegādes uz pārvades sistēmai pieslēgto gazificēto objektu. Saskaņā ar Sabiedrībai pieejamo informāciju, arī dabasgāzes sadales sistēmas operatoram akciju sabiedrībai “Gaso” nav pieejami tehnoloģiski rīki, lai daļēji ierobežotu dabasgāzes lietotāja dabasgāzes patēriņu pret attiecīgā dabasgāzes lietotāja gribu – tikai pilnīga dabasgāzes piegādes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30.-35. punkts jau paredz kārtību, kādā dabasgāzes lietotājs labprātīgi samazina patēriņu, kārtību dabasgāzes piegādes pārtraukšanai patēriņa ierobežojumu pārkāpšanas gadījumā, un piegādes pārtraukšanas atcelšanas kārtību, tādēļ nav skaidrs, kādi pasākumi būtu jāiekļauj noteikumu projekta 23. un 25. punktā paredzētajā lietotāju grupas dabasgāzes patēriņa ierobežošanas vai pārtraukšanas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Ministriju noteikumu projektā precizēt noteikumu projekta 23. un 25. punktā paredzētā rīcības plāna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Vienotais dabasgāzes sistēmas operators valsts enerģētiskajā krīzē vienas dienas laikā no dienas, kad konstatē negatīvā nebalansa daudzumu, informē Ministriju par dabasgāzes pārvades sistēmas lietotājiem, kuru dienas negatīvā nebalansa daudzums var apdraudēt dabasgāzes apgādes drošumu.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punktā ir noteikts, ka vienotais dabasgāzes sistēmas operators valsts enerģētiskajā krīzē vienas dienas laikā no dienas, kad konstatē negatīvā nebalansa daudzumu, informē Ministriju par dabasgāzes pārvades sistēmas lietotājiem, kuru dienas negatīvā nebalansa daudzums var apdraudēt dabasgāzes apgādes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februāra atzinumā Nr. COR-N-2023/0631 par iepriekšējo 2011. gada 19. aprīļa Ministru kabineta noteikumu “Enerģijas lietotāju apgādes un kurināmā pārdošanas kārtība izsludinātas enerģētiskās krīzes laikā un valsts apdraudējuma gadījumā” redakciju Sabiedrība lūdza Ministriju noteikumu projektu papildināt ar Ministru kabineta 2022. gada 9. augusta noteikumu Nr. 503 "Noteikumi par enerģijas lietotāju apgādi agrīnās brīdināšanas un trauksmes līmeņa izsludināšanas laikā" (turpmāk – MKN 503) regulējumu par dabasgāzes pārvades sistēmas lietotāja būtisku negatīvu nebalansu, kas var apdraudēt dabasgāzes apgādes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pozitīvi novērtē, ka noteikumu projekta aktuālajā redakcijā ir iekļauts 27. punkts, taču norāda, ka Sabiedrības iebildums ir ņemts vērā tikai daļēji, proti, noteikumu projektu papildinot tikai ar normu, kas saturiski atbilst MKN 503 9. punktam, nepaskaidrojot, kāpēc noteikumu projektā netika iekļauts MKN 503 10.-13. punktam saturiski atbilstošs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Ministriju papildināt noteikumu projektu ar MKN 503 10.-13. punktam saturiski atbilstošu regulējumu, vai skaidrot motivāciju noteikumu projekta 27. punkta pašreizējai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Ministrija, konsultējoties ar Centru, lemj par gazificēto objektu, kuriem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minētais dabasgāzes pārvades sistēmas lietotājs organizē dabasgāzes piegādi, dabasgāzes patēriņa ierobežojuma izmaiņu vai atslēgšanu, un vienotais dabasgāzes sistēmas operators sadarbībā ar dabasgāzes sadales sistēmas operatoru vienas dienas laikā no šā lēmuma pieņemšanas dienas veic attiecīgās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punktā ir paredzēts, ka Ministrija, konsultējoties ar Centru, lemj par gazificēto objektu, kuriem šo noteikumu 27. punktā minētais dabasgāzes pārvades sistēmas lietotājs organizē dabasgāzes piegādi, dabasgāzes patēriņa ierobežojuma izmaiņu vai atslēgšanu, un vienotais dabasgāzes sistēmas operators sadarbībā ar dabasgāzes sadales sistēmas operatoru vienas dienas laikā no šā lēmuma pieņemšanas dienas veic attiecīgās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un norāda, ka būtisks negatīvais nebalanss sistēmas lietotāja portfelī var rasties arī tādēļ, ka gāze tiek padota no Latvijas dabasgāzes pārvades sistēmas uz citas valsts dabasgāzes pārvades sistēmu, izmantojot starpvalstu savienojumu, kas nav atslēdzams gazificēts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Sabiedrība iebilst, ka no noteikumu projekta nav skaidra 28. punktā paredzētā VEKC saskaņojuma būtība vai tiesiskās sekas, tāpēc Sabiedrība lūdz Ministriju skaidrot VEKC pienesumu, lemjot par būtiskā negatīvā nebalansā nonākuša sistēmas lietotāja apgādāta gazificēta objekta atslēgšanu, vai noteikumu projekta 28.punktā dzēst atsauci uz konsultēšanos ar VEKC.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Dabasgāzes sadales sistēmas operators diennakts laikā pēc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informācijas saņemšanas sagatavo un iesniedz Ministrijā informāciju par pirmās, otrās, trešās un ceturtās dabasgāzes lietotāju grupas dabasgāzes diennakts vidējo patēriņu. Diennakts vidējais patēriņš tiek noteikts, balstoties uz dabasgāzes lietotāju gazificētiem objektiem, kuriem ir diennakts dabasgāzes patēriņa uzskaite – no pēdējiem 10 diennakts patēriņa rādītājiem izvēloties astoņus lielākos diennakts patēriņa rādītājus un aprēķinot no tiem vidējo aritmētisko patēriņu. Savukārt dabasgāzes lietotāju gazificētiem objektiem, kuriem nav diennakts dabasgāzes patēriņa uzskaites – nosakot pēdējā mēneša vidējo aritmētisko diennakts patēriņu.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ir noteikts, ka dabasgāzes sadales sistēmas operators diennakts laikā pēc šo noteikumu 4. punktā minētās informācijas saņemšanas sagatavo un iesniedz Ministrijā informāciju par pirmās, otrās, trešās un ceturtās dabasgāzes lietotāju grupas dabasgāzes diennakts vidējo patēriņu. Diennakts vidējais patēriņš tiek noteikts, balstoties uz dabasgāzes lietotāju gazificētiem objektiem, kuriem ir diennakts dabasgāzes patēriņa uzskaite – no pēdējiem 10 diennakts patēriņa rādītājiem izvēloties astoņus lielākos diennakts patēriņa rādītājus un aprēķinot no tiem vidējo aritmētisko patēriņu. Savukārt dabasgāzes lietotāju gazificētiem objektiem, kuriem nav diennakts dabasgāzes patēriņa uzskaites – nosakot pēdējā mēneša vidējo aritmētisko diennakts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ka noteikumu projekta 29. punktā paredzētais pienākums veidot dabasgāzes lietotāju grupu sarakstu ir nepamatoti noteikts kā veicams tikai tad, kad dabasgāzes sadales sistēmas operators ir saņēmis informāciju par iespējamu enerģētiskās krīzes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saraksta izveidošana var būt preventīvs, nevis reaģēšanas pasākums, iespējams – ar pienākumu aktualizēt dabasgāzes lietotāju sarakstu regulāri, jo tas atslogotu darbplūsmu brīdī, kad dabasgāzes sadales sistēmas operators gatavojas iespējamai enerģētiskajai krīzei, kā arī paātrina enerģētiskās krīzes pārvaldībai būtisku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Sabiedrība aicina Ministriju no noteikumu projekta 29.punktā grozīt punktā paredzētā pienākuma izpildes termiņu, atsakoties no dabasgāzes lietotāju saraksta aktualizēšanas tikai tad, kad ir novērojami potenciālas enerģētiskās krīzes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dabasgāzes lietotājs valsts enerģētiskās krīzes laikā diennaktī patērē dabasgāzi vairāk, nekā ir noteicis Ministru kabinets vai noteikts saskaņā ar plānu, vienotais dabasgāzes sistēmas operators vai dabasgāzes sadales sistēmas operators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punktā ir paredzēta kārtība, kādā tiek pārtrauktas dabasgāzes piegādes dabasgāzes lietotājam, kas pārkāpj Ministru kabineta noteikto dabasgāzes patēriņa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noteikumu projekta uztveramības uzlabošanas nolūkos ir jāprecizē noteikumu projekta 33. punkta redakcija, nosakot, ka punktā paredzētā kārtība neattiecas uz nodrošināmajiem lietotājiem (1. dabasgāzes lietotāju grupa), kuriem saskaņā ar noteikumu projekta 25.punktu patēriņš netiek ierobežots vai pārtraukts.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Dabasgāzes lietotājiem, kas glabā dabasgāzi Inčukalna pazemes gāzes krātuvē, nav ierobežota dabasgāzes izņemšana no krātuves, ja Centrs nav lēmis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punktā ir noteikts, ka dabasgāzes lietotājiem, kas glabā dabasgāzi Inčukalna pazemes gāzes krātuvē, nav ierobežota dabasgāzes izņemšana no krātuves, ja VEKC nav lēmis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noteikumu projekta 36. punkts jāprecizē tādējādi, ka runa ir par neierobežotu dabasgāzes daudzuma izņemšanu no Inčukalna pazemes gāzes krātuves tikai tajā dabasgāzes daudzuma daļā, kas ir dabasgāzes lietotāja rīcībā Inčukalna pazemes gāzes krātuvē.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Vienotais dabasgāzes sistēmas operators dabasgāzes stratēģisko rezervi (turpmāk – rezerve) veido, ievērojot dabasgāzes daudzumu atbilstoši Eiropas Parlamenta un Padomes 2017. gada 25. oktobra Regulā (ES) Nr. 2017/1938 par gāzes piegādes drošības aizsardzības pasākumiem un ar ko atceļ Regulu (ES) Nr. 994/2010 noteiktajam piegādes standartam, kuru izmanto nodrošināmo lietotāju apgādei enerģētiskās krīzes laikā, ja traucēta dabasgāzes piegāde.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nodaļā ir paredzēti dabasgāzes stratēģiskās rezerves izveidošanas un izmantošanas noteikumi. Cita starpā, noteikumu projekta 37. punktā ir noteikts, ka dabasgāzes stratēģisko rezervi veido vienotais dabasgāzes sistēmas operators –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 panta pirmās daļas 51. punktā ir noteikts, ka dabasgāzes stratēģiskās rezerves ir dabasgāzes rezerves, ko Latvija uztur noteiktā apjomā saskaņā ar šā likuma 64. panta pirmās daļas 3. punktā noteikto kārtību, savukārt Enerģētikas likuma 64. panta pirmās daļas 3. punktā ir noteikts: “Ministru kabinets nosaka kārtību, kādā enerģijas lietotāji apgādājami ar enerģiju izsludinātas enerģētiskās krīzes laikā. Šī kārtība paredz [..] dabasgāzes stratēģisko rezervju izveidošanas un izmantošanas kārtību, lai pēc iespējas nodrošinātu dabasgāzes lietotāju nepārtrauktu apgādi ar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ka ja noteikumu projekta 37.punktā ir iecerēts kā deleģējums Sabiedrībai veidot un uzturēt Enerģētikas likumā paredzēto dabasgāzes stratēģisko rezervi, tad tā ir būtiska atkāpe no Enerģētikas likuma 1. panta pirmās daļas 7</w:t>
            </w:r>
            <w:r w:rsidR="00000000" w:rsidRPr="00000000" w:rsidDel="00000000">
              <w:rPr>
                <w:vertAlign w:val="superscript"/>
                <w:rtl w:val="0"/>
              </w:rPr>
              <w:t xml:space="preserve">1</w:t>
            </w:r>
            <w:r w:rsidR="00000000" w:rsidRPr="00000000" w:rsidDel="00000000">
              <w:rPr>
                <w:rtl w:val="0"/>
              </w:rPr>
              <w:t xml:space="preserve"> punktā un 82.</w:t>
            </w:r>
            <w:r w:rsidR="00000000" w:rsidRPr="00000000" w:rsidDel="00000000">
              <w:rPr>
                <w:vertAlign w:val="superscript"/>
                <w:rtl w:val="0"/>
              </w:rPr>
              <w:t xml:space="preserve">1</w:t>
            </w:r>
            <w:r w:rsidR="00000000" w:rsidRPr="00000000" w:rsidDel="00000000">
              <w:rPr>
                <w:rtl w:val="0"/>
              </w:rPr>
              <w:t xml:space="preserve"> pantā noteiktā, saskaņā ar kuru vienotajam dabasgāzes pārvades un uzglabāšanas operatoram ir pienākums nodrošināt Inčukalna PGK un pārvades sistēmas jaudas pieejamību, nevis iegādāties tirgū gāzi. Turklāt šāda būtiska jauninājuma motivācija nav skaidrota noteikumu projekta anotācijā, kuras 1.3. apakšpunktā tikai atkārtots noteikumu projekta 37. punkta un 38.1. apakšpunkta regulējums, kā arī nav vērtēta šāda pasākuma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38.2. apakšpunktā ir noteikts, ka dabasgāzes pārvades sistēmas pakalpojuma izmaksās (sistēmas lietošanas tarifos) ietver tikai pieejamības nodrošināšanai nepieciešamās tehnoloģiski un ekonomiski pamatotās rezerves uzglabāšanas izmaksas, bet dabasgāzes stratēģiskajā rezervē iekļaujamā gāzes apjoma iegādes izmaksu atlīdzināšana nav minēta.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noteikumu projekta 37. punkts nav iecerēts kā pienākums Sabiedrībai sākt veidot Latvijas dabasgāzes stratēģiskās rezerves, tad noteikumu projekta 37. punkts ir grozāms, precizējot dabasgāzes stratēģiskās rezerves veidotāju.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Sabiedrības ieskatā nepieciešams precizēt noteikumu projekta 37. punktu, nepārprotami nostiprinot, ka Enerģētikas likumā noteikto energoapgādes drošuma rezervju apjomā ietilpst arī piegādes standarta apjoms, kas izriet no SOS regulas 6. panta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vienlaikus iebilst, ka noteikumu projekta V nodaļā ir iekļauts regulējums par dabasgāzes stratēģisko rezervi, bet noteikumu projekta tekstā nav minētas Enerģētikas likuma 82.</w:t>
            </w:r>
            <w:r w:rsidR="00000000" w:rsidRPr="00000000" w:rsidDel="00000000">
              <w:rPr>
                <w:vertAlign w:val="superscript"/>
                <w:rtl w:val="0"/>
              </w:rPr>
              <w:t xml:space="preserve">1</w:t>
            </w:r>
            <w:r w:rsidR="00000000" w:rsidRPr="00000000" w:rsidDel="00000000">
              <w:rPr>
                <w:rtl w:val="0"/>
              </w:rPr>
              <w:t xml:space="preserve"> pantā paredzētās energoapgādes drošuma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ka noteikumu projektā nepieciešams precizēt 37. punktu, nepārprotami nostiprinot, ka Enerģētikas likumā noteikto energoapgādes drošuma rezervju apjomā ietilpst arī piegādes standarta apjoms, kas izriet no SOS regulas 6. panta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Dabasgāzes stratēģiskās rezerves (turpmāk – rezerves) veido dabasgāzes daudzums, kas noteikts,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Eiropas Parlamenta un Padomes 2017. gada 25. oktobra Regulas (ES) Nr. 2017/1938 par gāzes piegādes drošības aizsardzības pasākumiem un ar ko atceļ Regulu (ES) Nr. 994/2010 6. pantā noteiktajam piegādes standartam nepieciešamo dabasgāzes daudzumu, kuru izmanto nodrošināmo lietotāju apgādei enerģētiskās krīzes laikā, ja traucēta dabasgāzes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Enerģētikas likuma 82.</w:t>
            </w:r>
            <w:r w:rsidR="00000000" w:rsidRPr="00000000" w:rsidDel="00000000">
              <w:rPr>
                <w:vertAlign w:val="superscript"/>
                <w:rtl w:val="0"/>
              </w:rPr>
              <w:t xml:space="preserve">1</w:t>
            </w:r>
            <w:r w:rsidR="00000000" w:rsidRPr="00000000" w:rsidDel="00000000">
              <w:rPr>
                <w:rtl w:val="0"/>
              </w:rPr>
              <w:t xml:space="preserve"> pantā noteiktajām energoapgādes drošuma rezervēm nepieciešamo dabasgāzes daudzumu, kas ietver šo noteikumu 37.1. apakšpunktā noteikto dabasgāzes daudzumu, un kuru izmanto nodrošināmo lietotāju un tautsaimniecībai nozīmīgu objektu apgādei.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pieejamības nodrošināšanai nepieciešamās tehnoloģiski un ekonomiski pamatotās rezerves uzglabāšanas izmaksas ietver dabasgāzes pārvades sistēmas pakalpojuma izmaksās.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82.</w:t>
            </w:r>
            <w:r w:rsidR="00000000" w:rsidRPr="00000000" w:rsidDel="00000000">
              <w:rPr>
                <w:vertAlign w:val="superscript"/>
                <w:rtl w:val="0"/>
              </w:rPr>
              <w:t xml:space="preserve">1</w:t>
            </w:r>
            <w:r w:rsidR="00000000" w:rsidRPr="00000000" w:rsidDel="00000000">
              <w:rPr>
                <w:rtl w:val="0"/>
              </w:rPr>
              <w:t xml:space="preserve"> panta otrajā daļā jau noteikts, ka energoapgādes drošuma rezervju uzglabāšanas izmaksas jeb infrastruktūras pieejamības nodrošināšanas izmaksas tiek iekļautas vienotā dabasgāzes pārvades un uzglabāšanas sistēmas operatora pārvades pakalpojumu tarifos, tādēļ šī regulējuma daļa nav jādublē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03.05.2024. 20.02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03.05.2024. 20.02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