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16. jūnija noteikumos Nr. 383 "Noteikumi par garantijām saimnieciskās darbības veicējiem konkurētspējas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5.4. apakšsadaļas 1. tabulu ar attiecīgu izvērtējumu atbilstoši visiem Komisijas 2014.gada 17.jūnija Regulas (ES) Nr.651/2014, ar ko noteiktas atbalsta kategorijas atzīst par saderīgām ar iekšējo tirgu, piemērojot Līguma 107. un 108.pantu, (turpmāk – Regula Nr.651/2014) punktiem, kā arī iekļaut informāciju, ka Ekonomikas ministrija 20 darba dienu laikā pēc Ministru kabineta 2020. gada 16. jūnija noteikumu Nr. 383 "Noteikumi par garantijām saimnieciskās darbības veicējiem konkurētspējas uzlabošanai" (turpmāk – noteikumi) grozījumu stāšanās spēkā iesniegs Eiropas Komisijā kopsavilkuma informāciju par programmu,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Garantijas, kas šo noteikumu ietvaros tiek piešķirtas militārās drošības un  aizsardzības jomā, nav kvalificējams kā komercdarbības atbalsts, un tam nav jāpiemēro šajos noteikumos ietvertie Komisijas regulas Nr. 2023/2831 un Komisijas regulas  Nr.651/2014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"Piesakoties atbalstam, būs nepieciešams saņemt atzinumu no Aizsardzības ministrijas par projekta atbilstību drošības un aizsardzības jomai, veicot norādi par projekta atbilstību militārajai vai divējāda lietojuma produktu un tehnoloģiju specifikai." Skaidrojam, ka, ja publisko finansējumu paredzēts piešķirt divējāda lietojuma preču un tehnoloģiju jomā, tas būtu vērtējams kā saimniecisks projekts, kuram, piešķirot publisko finansējumu, būtu jāpiemēro komercdarbības atbalsta regulējums (sk. skaidrojošo materiālu Finanšu ministrijas mājas lapā https://www.fm.gov.lv/lv/media/21699/download?attachment). Izstrādājot atbalsta pasākumu, ir nepieciešams skaidri definēt atbalstāmo aktivitāšu būtību, proti, vai ir paredzēts sniegt atbalstu no publiskiem resursiem tikai tādām aktivitātēm, kas saistītas vienīgi ar darbībām militārajā jomā vai arī atbalsts no publiskiem resursiem iespējams divējāda lietojuma preču un tehnoloģiju jomā, attiecīgi lemjot par atbilstoša komercdarbības atbalsta regulējuma piemērošanu. Gadījumā, ja ir plānots atbalstu sniegt gan darbībām militārajā jomā, gan atbalstīt aktivitātes divējāda lietojuma preču un tehnoloģiju jomā, attiecībā uz publisko līdzekļu piešķīrumu atbalstam darbībām militārajā jomā komercdarbības atbalsta nosacījumus neattiecina, ja ar uzskaites nodalīšanu ir iespējams nodrošināt to, ka aktivitātes divējāda lietojuma preču un tehnoloģiju jomā negūst labumu no publiskajiem līdzekļiem, kas piešķirti darbībām militārajā jomā. Ņemot vērā skaidroto, lūdzam precizēt un papildināt noteikumu projektu un anotāciju tā, lai skaidrs, vai plānots atbalstu sniegt tikai darbībām militārajā jomā, vai arī atbalstīt aktivitātes divējāda lietojuma preču un tehnoloģiju jomā, un attiecīgi noteikumus papildināt ar normu, kas nosaka vai nu uzskaites nodalīšanu vai arī attiecīgus komercdarbības atbalsta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nodrošinātu to, ka regulējumā ir skaidri atrunāti komersanta un Aizsardzības ministrijas pienākumi, lūdzam papildināt noteikumu projektu ar atbilstošu regulējumu, definējot procedūras atbilstoši anotācijā norādītajam, proti, kādas darbības būs jāveic atbalsta pretendentam piesakoties atbalstam, lai saņemtu atzinumu no Aizsardzības ministrijas par projekta atbilstību drošības un aizsardzības jomai. Vienlaikus lūdzam saskaņot noteikumu projektu ar Aizsardzības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Atbalstu piešķir tikai par jauniem finanšu pakalpojumiem, izņemot šādus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Regulas Nr.651/2014 14.pantu ir iespējams piemērot tikai tad, ja aizdevums, par kuru tiek sniegta garantija, ir saistīts ar sākotnējiem ieguldījumiem projektā, kā arī ir jāievēro atbalsta stimulējošās ietekmes nosacījums, lūdzam šajā kontekstā izvērtēt noteikumu 8., 9., 9</w:t>
            </w:r>
            <w:r w:rsidR="00000000" w:rsidRPr="00000000" w:rsidDel="00000000">
              <w:rPr>
                <w:vertAlign w:val="superscript"/>
                <w:rtl w:val="0"/>
              </w:rPr>
              <w:t xml:space="preserve">1</w:t>
            </w:r>
            <w:r w:rsidR="00000000" w:rsidRPr="00000000" w:rsidDel="00000000">
              <w:rPr>
                <w:rtl w:val="0"/>
              </w:rPr>
              <w:t xml:space="preserve"> punktā, kā arī citos noteikumu punktos, kur nepieciešams, iekļautos izņēmumus, un nepieciešamības gadījumā, precizēt noteikumus, piemēram, nosakot, kuros gadījumos Regulas Nr.651/2014 14.pants nav piemērojams. Vienlaikus lūdzam iekļaut skaidrojumu anotācijā, t.sk., ka jebkurā gadījumā pasākuma ietvaros atbalstu ar Regulas Nr.651/2014 14.pantu var saņemt tikai tad, ja aizdevums, par kuru tiek sniegta garantija, ir saistīts ar sākotnējiem ieguldījumiem projektā, kā arī ir jāievēro atbalsta stimulējošās ietekmes nosacījums, t.i. projekts nevar tik uzsākts ātrāk, kā iesniegts projekta pieteikums, un ka šos nosacījumus pirms garantijas izsniegšanas pārbauda garantijas devējs - akciju sabiedrība “Attīstības finanšu institūcija Altum” (turpmāk – Altum).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Garantiju piešķir, ja saimnieciskā darbība ir ekonomiski dzīvotspējīga, tai skaitā izvērtējot saimnieciskās darbības veicēja biznesa idejas potenciālu un ilgtspēju, projekta īstenošanai nepieciešamo līdzfinansējumu un likviditāti, saimnieciskās darbības veicēja esošo un nākotnes finanšu situāciju, zināšanu un pieredzes atbilstību, kā arī analizējot identificētos uzņēmējdarbības riskus un citus faktorus saimnieciskās darbības veicēja aizdevuma kvalitātes noteikšanai. Piešķirot garantiju, tiek sniegts </w:t>
            </w:r>
            <w:r w:rsidR="00000000" w:rsidRPr="00000000" w:rsidDel="00000000">
              <w:rPr>
                <w:i w:val="1"/>
                <w:rtl w:val="0"/>
              </w:rPr>
              <w:t xml:space="preserve">de minimis</w:t>
            </w:r>
            <w:r w:rsidR="00000000" w:rsidRPr="00000000" w:rsidDel="00000000">
              <w:rPr>
                <w:rtl w:val="0"/>
              </w:rPr>
              <w:t xml:space="preserve"> atbalsts saskaņā ar šo noteikumu IV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pasākums papildināts ar atbalstu saskaņā ar Regulas Nr.651/2014 14.pantu, lūdzam precizēt noteikumu 10.punkta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Vienam sīkajam (mikro), mazajam un vidējam saimnieciskās darbības veicējam un ar to saistīto personu grupai (atbilstoši Komisijas regulas Nr. </w:t>
            </w:r>
            <w:r w:rsidR="00000000" w:rsidRPr="00000000" w:rsidDel="00000000">
              <w:rPr>
                <w:rtl w:val="0"/>
              </w:rPr>
              <w:t xml:space="preserve">2023/2831</w:t>
            </w:r>
            <w:r w:rsidR="00000000" w:rsidRPr="00000000" w:rsidDel="00000000">
              <w:rPr>
                <w:rtl w:val="0"/>
              </w:rPr>
              <w:t xml:space="preserve"> 2. panta 2. punkta definīcijai) garantijas summa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12.punktu, jo tas runā par garantijas summu, kas sniegta MVU saskaņā ar Komisijas 2023.gada 13.decembra Regulu (ES) 2023/2831 par Līguma par Eiropas Savienības darbību 107. un 108.panta piemērošanu de minimis atbalstam (turpmāk –Regula Nr.2023/2831), sniedzot, t.sk., atsauci uz minētās regulas 2. panta 2. punkta definīciju, savukārt 12.punkta apakšpunkti runā arī par atbalstu ar Regulu Nr.651/2014, kurai ir attiecīgā saistīto uzņēmumu definīcija, un atbalstu lielajiem komersantiem.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atbalsts tiek sniegts saskaņā ar Regulas 651/2014 14. pantu atbalstāmi ir ieguldījumi materiālajos aktīvos (saskaņā ar Komisijas regulas Nr. 651/2014 2. panta 29. punktu) un nemateriālajos aktīvos (saskaņā ar Komisijas regulas Nr. 651/2014 2. panta 30. punktu),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papildināti ar Regulas Nr.651/2014 nosacījumiem, lūdzam noteikumus papildināt ar visām normām, kas izriet no Regulas Nr.651/2014  I sadaļas, kā arī 13. un 14.panta prasībām. Tai skaitā, 1.panta 4.punkta (saistīto uzņēmumu grupas līmenī), 9.panta 1. un 4.punkta, 14.panta 7., 14. un 16.punkta.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5. atbalstam ir stimulējoša ietekme atbilstoši Komisijas regulas Nr. 651/2014 6. panta 2. punktā minētajām pazīmēm. Ja projektam piesaista citu publisko finansējumu, darbu ar projektu var uzsākt tad, kad visās iestādēs, kurās pretendē uz atbalstu, ir iesniegts pieteikums un ir pieņemts lēmums par atbalsta piešķiršanu vai noslēgts līgums, ja atbalstu nepiešķir ar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nekorektas interpretācijas risku, ka projektā radušās attiecināmās izmaksas var tikt attiecinātas arī gadījumos, ja darbi pie sākotnējā ieguldījumu projekta tika uzsākti pirms projekta iesnieguma (garantijas pieteikuma) iesniegšanas, tādējādi pārkāpjot stimulējošās ietekmes prasību (atbilstoši Komisijas regulas Nr.651/2014 6.pantam), lūdzam papildināt noteikumu 12.</w:t>
            </w:r>
            <w:r w:rsidR="00000000" w:rsidRPr="00000000" w:rsidDel="00000000">
              <w:rPr>
                <w:vertAlign w:val="superscript"/>
                <w:rtl w:val="0"/>
              </w:rPr>
              <w:t xml:space="preserve">1</w:t>
            </w:r>
            <w:r w:rsidR="00000000" w:rsidRPr="00000000" w:rsidDel="00000000">
              <w:rPr>
                <w:rtl w:val="0"/>
              </w:rPr>
              <w:t xml:space="preserve">5. apakšpunktu ar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projekta iesniegums atbilst Komisijas regulas Nr. 651/2014 6. panta 2. punktā ietvertajām prasībām par pieteikumā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projekta īstenošana ir uzsākta pirms projekta iesnieguma iesniegšanas, projekta iesniegumu noraida;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sniegt "darbu sākuma" definīciju atbilstoši Komisijas regulas Nr. 651/2014 2. panta 23.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Iepriekš izsniegtas garantijas termiņu, kas izsniegta saskaņā ar Komisijas regulas Nr. 651/2014 14.pantu var pagarināt, kopējam garantijas termiņam nepārsniedzot 15 gadus tikai gadījumos, ja netiek pārsniegta sākotnēji piešķirtā atbalsta intensitāte.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piešķirot atbalstu saskaņā ar Regulu Nr. 651/2014 ir jāievēro atbalsta stimulējošās ietekmes nosacījums, jau sākotnēji lemjot par garantijas piešķiršanu ir jānosaka maksimālais iespējamais garantijas termiņš, summa un atbalsta intensitāte, jo jaunu lēmumu par papildus atbalsta piešķiršanu vairs pieņemt nevarēs. Attiecīgi lūdzam precizēt noteikumu 14.</w:t>
            </w:r>
            <w:r w:rsidR="00000000" w:rsidRPr="00000000" w:rsidDel="00000000">
              <w:rPr>
                <w:vertAlign w:val="superscript"/>
                <w:rtl w:val="0"/>
              </w:rPr>
              <w:t xml:space="preserve">1</w:t>
            </w:r>
            <w:r w:rsidR="00000000" w:rsidRPr="00000000" w:rsidDel="00000000">
              <w:rPr>
                <w:rtl w:val="0"/>
              </w:rPr>
              <w:t xml:space="preserve"> punktu un papildināt noteikumus tā, lai tas ir viennozīmīgi ir skaidrs. Ar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Saimnieciskās darbības veicējiem, kuru darbības nozare ir NACE 2.1. redakcijas grupa "Ceļojumu biroju, tūrisma operatoru un citi rezervēšanas pakalpojumi un ar tiem saistītas darbības", garantijas prēmiju, kas aprēķināta saskaņā ar šo noteikumu </w:t>
            </w:r>
            <w:r w:rsidR="00000000" w:rsidRPr="00000000" w:rsidDel="00000000">
              <w:rPr>
                <w:rtl w:val="0"/>
              </w:rPr>
              <w:t xml:space="preserve">19.</w:t>
            </w:r>
            <w:r w:rsidR="00000000" w:rsidRPr="00000000" w:rsidDel="00000000">
              <w:rPr>
                <w:rtl w:val="0"/>
              </w:rPr>
              <w:t xml:space="preserve"> punktu</w:t>
            </w:r>
            <w:r w:rsidR="00000000" w:rsidRPr="00000000" w:rsidDel="00000000">
              <w:rPr>
                <w:rtl w:val="0"/>
              </w:rPr>
              <w:t xml:space="preserve"> un paredzēta šo noteikumu </w:t>
            </w:r>
            <w:r w:rsidR="00000000" w:rsidRPr="00000000" w:rsidDel="00000000">
              <w:rPr>
                <w:rtl w:val="0"/>
              </w:rPr>
              <w:t xml:space="preserve">8.5.</w:t>
            </w:r>
            <w:r w:rsidR="00000000" w:rsidRPr="00000000" w:rsidDel="00000000">
              <w:rPr>
                <w:rtl w:val="0"/>
              </w:rPr>
              <w:t xml:space="preserve"> apakšpunktā</w:t>
            </w:r>
            <w:r w:rsidR="00000000" w:rsidRPr="00000000" w:rsidDel="00000000">
              <w:rPr>
                <w:rtl w:val="0"/>
              </w:rPr>
              <w:t xml:space="preserve"> minēto finanšu pakalpojumu garantēšanai, var samazināt, bet ne vairāk kā 90 %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ir skaidrs kāds ir subsīdijas ekvivalents, lūdzam anotācijā skaidrot subsīdijas ekvivalenta aprēķināšanas metodiku, gadījumā, kas noteikts noteikumu 19.</w:t>
            </w:r>
            <w:r w:rsidR="00000000" w:rsidRPr="00000000" w:rsidDel="00000000">
              <w:rPr>
                <w:vertAlign w:val="superscript"/>
                <w:rtl w:val="0"/>
              </w:rPr>
              <w:t xml:space="preserve">1</w:t>
            </w:r>
            <w:r w:rsidR="00000000" w:rsidRPr="00000000" w:rsidDel="00000000">
              <w:rPr>
                <w:rtl w:val="0"/>
              </w:rPr>
              <w:t xml:space="preserve"> punktā, ņemot vērā noteikumu 19.punktā minēto garantijas prēmiju likmju aprēķina metodiku.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Atbalsta sniedzējs veic saimnieciskās darbības veicēja izvērtēšanu atbilstoši Komisijas regulas Nr. 2023/2831 nosacījumiem uz atbalsta piešķiršanas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ir papildināti arī ar Regulas Nr.651/2014 nosacījumiem, lūdzam papildināt noteikumu 20.</w:t>
            </w:r>
            <w:r w:rsidR="00000000" w:rsidRPr="00000000" w:rsidDel="00000000">
              <w:rPr>
                <w:vertAlign w:val="superscript"/>
                <w:rtl w:val="0"/>
              </w:rPr>
              <w:t xml:space="preserve">1</w:t>
            </w:r>
            <w:r w:rsidR="00000000" w:rsidRPr="00000000" w:rsidDel="00000000">
              <w:rPr>
                <w:rtl w:val="0"/>
              </w:rPr>
              <w:t xml:space="preserve"> punktu arī ar atsauci uz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Subsīdijas ekvivalentu lielajam saimnieciskās darbības veicējam un mazai vidējās kapitalizācijas un vidējās kapitalizācijas sabiedrībai aprēķina, piemērojot Komisijas regulas Nr. 2023/2831 4. panta 6. punkta "b" apakšpunkta nosacījumus, ja atbalsts tiek sniegts kā de minimis vai saskaņā ar metodiku, kas saskaņota ar Eiropas Komisiju atbilstoši Regulas 651/2014 5.panta “c” “ii” apakšpunktam vai saskaņā  Nr. 2023/2831 4. panta 6. punkta "d" “i” apakšpunkta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21.punktu, skaidri nosakot, kādus nosacījumus subsīdijas ekvivalenta aprēķināšanai lielajam saimnieciskās darbības veicējam un mazai vidējās kapitalizācijas un vidējās kapitalizācijas sabiedrībai piemēro gadījumos, kad atbalstu sniedz piemērojot Regulu Nr. 2023/2831 vai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w:t>
            </w:r>
            <w:r w:rsidR="00000000" w:rsidRPr="00000000" w:rsidDel="00000000">
              <w:rPr>
                <w:i w:val="1"/>
                <w:rtl w:val="0"/>
              </w:rPr>
              <w:t xml:space="preserve">De minimis</w:t>
            </w:r>
            <w:r w:rsidR="00000000" w:rsidRPr="00000000" w:rsidDel="00000000">
              <w:rPr>
                <w:rtl w:val="0"/>
              </w:rPr>
              <w:t xml:space="preserve"> atbalsts saimnieciskās darbības veicējam tiek piešķirts ar dienu, kad pieņemts lēmums par </w:t>
            </w:r>
            <w:r w:rsidR="00000000" w:rsidRPr="00000000" w:rsidDel="00000000">
              <w:rPr>
                <w:i w:val="1"/>
                <w:rtl w:val="0"/>
              </w:rPr>
              <w:t xml:space="preserve">de minimis</w:t>
            </w:r>
            <w:r w:rsidR="00000000" w:rsidRPr="00000000" w:rsidDel="00000000">
              <w:rPr>
                <w:rtl w:val="0"/>
              </w:rPr>
              <w:t xml:space="preserve">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ir papildināti arī ar Regulas Nr.651/2014 nosacījumiem, lūdzam papildināt noteikumu 22. punktu arī ar atsauci uz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Piesakoties de minimis atbalstam, saimnieciskās darbības veicējs sniedz informāciju par iepriekš saņemto de minimis atbalstu, ievērojot normatīvos aktus par de minimis atbalsta uzskaites un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ir papildināti arī ar Regulas Nr.651/2014 nosacījumiem, lūdzam papildināt noteikumu 23. punktu arī ar tajā ietvertajiem nosacījumiem atbalstam, kas sniegts ar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Sabiedrība "Altum" un atbalsta saņēmējs ievēro Komisijas regulas Nr. </w:t>
            </w:r>
            <w:r w:rsidR="00000000" w:rsidRPr="00000000" w:rsidDel="00000000">
              <w:rPr>
                <w:rtl w:val="0"/>
              </w:rPr>
              <w:t xml:space="preserve">2023/2831</w:t>
            </w:r>
            <w:r w:rsidR="00000000" w:rsidRPr="00000000" w:rsidDel="00000000">
              <w:rPr>
                <w:rtl w:val="0"/>
              </w:rPr>
              <w:t xml:space="preserve"> 6. panta 3. un 7. punktā minētos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ir papildināti arī ar Regulas Nr.651/2014 nosacījumiem, lūdzam precizēt noteikumu 27. punktu ar dokumentu glabāšanas nosacījumiem, ja atbalsts tiek sniegts ar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ir pārkāptas Komisijas regulas Nr. </w:t>
            </w:r>
            <w:r w:rsidR="00000000" w:rsidRPr="00000000" w:rsidDel="00000000">
              <w:rPr>
                <w:rtl w:val="0"/>
              </w:rPr>
              <w:t xml:space="preserve">2023/2831</w:t>
            </w:r>
            <w:r w:rsidR="00000000" w:rsidRPr="00000000" w:rsidDel="00000000">
              <w:rPr>
                <w:rtl w:val="0"/>
              </w:rPr>
              <w:t xml:space="preserve">  vai Komisijas regulas 651/2014 prasības, atbalsta saņēmējam ir pienākums atmaksāt sabiedrībai "Altum"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valsts atbalsta, saskaņā ar </w:t>
            </w:r>
            <w:r w:rsidR="00000000" w:rsidRPr="00000000" w:rsidDel="00000000">
              <w:rPr>
                <w:rtl w:val="0"/>
              </w:rPr>
              <w:t xml:space="preserve">Komercdarbības atbalsta kontroles likuma</w:t>
            </w:r>
            <w:r w:rsidR="00000000" w:rsidRPr="00000000" w:rsidDel="00000000">
              <w:rPr>
                <w:rtl w:val="0"/>
              </w:rPr>
              <w:t xml:space="preserve">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 tiek pārkāpti Regulas Nr. 651/2014 nosacījumi, atbalsta saņēmējam ir pienākums atmaksāt Altum projekta ietvaros saņemto nelikumīgo komercdarbības atbalstu kopā ar procentiem no līdzekļiem, kas ir brīvi no komercdarbības atbalsta, atbilstoši Komercdarbības atbalsta kontroles likuma IV vai V nodaļas nosacījumiem. Attiecīgi lūdzam precizēt noteikumu 28.punkta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2</w:t>
            </w:r>
            <w:r w:rsidR="00000000" w:rsidRPr="00000000" w:rsidDel="00000000">
              <w:rPr>
                <w:rtl w:val="0"/>
              </w:rPr>
              <w:t xml:space="preserve"> Ja saimnieciskās darbības veicējs darbojas šo noteikumu </w:t>
            </w:r>
            <w:r w:rsidR="00000000" w:rsidRPr="00000000" w:rsidDel="00000000">
              <w:rPr>
                <w:rtl w:val="0"/>
              </w:rPr>
              <w:t xml:space="preserve">16.1.</w:t>
            </w:r>
            <w:r w:rsidR="00000000" w:rsidRPr="00000000" w:rsidDel="00000000">
              <w:rPr>
                <w:rtl w:val="0"/>
              </w:rPr>
              <w:t xml:space="preserve"> apakšpunktā</w:t>
            </w:r>
            <w:r w:rsidR="00000000" w:rsidRPr="00000000" w:rsidDel="00000000">
              <w:rPr>
                <w:rtl w:val="0"/>
              </w:rPr>
              <w:t xml:space="preserve"> minētajās neatbalstāmajās nozarēs, </w:t>
            </w:r>
            <w:r w:rsidR="00000000" w:rsidRPr="00000000" w:rsidDel="00000000">
              <w:rPr>
                <w:i w:val="1"/>
                <w:rtl w:val="0"/>
              </w:rPr>
              <w:t xml:space="preserve">de minimis</w:t>
            </w:r>
            <w:r w:rsidR="00000000" w:rsidRPr="00000000" w:rsidDel="00000000">
              <w:rPr>
                <w:rtl w:val="0"/>
              </w:rPr>
              <w:t xml:space="preserve"> atbalstu drīkst piešķirt tikai tad, ja atbalsta pretendents nodrošina nozaru darbību vai uzskaites nodalīšanu, lai saskaņā ar Komisijas regulas Nr. </w:t>
            </w:r>
            <w:r w:rsidR="00000000" w:rsidRPr="00000000" w:rsidDel="00000000">
              <w:rPr>
                <w:rtl w:val="0"/>
              </w:rPr>
              <w:t xml:space="preserve">2023/2831</w:t>
            </w:r>
            <w:r w:rsidR="00000000" w:rsidRPr="00000000" w:rsidDel="00000000">
              <w:rPr>
                <w:rtl w:val="0"/>
              </w:rPr>
              <w:t xml:space="preserve"> 1. panta 2. punktu darbības izslēgtajās nozarēs negūst labumu no </w:t>
            </w:r>
            <w:r w:rsidR="00000000" w:rsidRPr="00000000" w:rsidDel="00000000">
              <w:rPr>
                <w:i w:val="1"/>
                <w:rtl w:val="0"/>
              </w:rPr>
              <w:t xml:space="preserve">de minimis</w:t>
            </w:r>
            <w:r w:rsidR="00000000" w:rsidRPr="00000000" w:rsidDel="00000000">
              <w:rPr>
                <w:rtl w:val="0"/>
              </w:rPr>
              <w:t xml:space="preserve"> atbalsta, ko piešķir saskaņā ar Komisijas regulu Nr. </w:t>
            </w:r>
            <w:r w:rsidR="00000000" w:rsidRPr="00000000" w:rsidDel="00000000">
              <w:rPr>
                <w:rtl w:val="0"/>
              </w:rPr>
              <w:t xml:space="preserve">2023/2831</w:t>
            </w:r>
            <w:r w:rsidR="00000000" w:rsidRPr="00000000" w:rsidDel="00000000">
              <w:rPr>
                <w:rtl w:val="0"/>
              </w:rPr>
              <w:t xml:space="preserve">. Ja saimnieciskās darbības veicējs vienlaikus darbojas vienā vai vairākās nozarēs, kas minētas šo noteikumu </w:t>
            </w:r>
            <w:r w:rsidR="00000000" w:rsidRPr="00000000" w:rsidDel="00000000">
              <w:rPr>
                <w:rtl w:val="0"/>
              </w:rPr>
              <w:t xml:space="preserve">16.2.</w:t>
            </w:r>
            <w:r w:rsidR="00000000" w:rsidRPr="00000000" w:rsidDel="00000000">
              <w:rPr>
                <w:rtl w:val="0"/>
              </w:rPr>
              <w:t xml:space="preserve">, </w:t>
            </w:r>
            <w:r w:rsidR="00000000" w:rsidRPr="00000000" w:rsidDel="00000000">
              <w:rPr>
                <w:rtl w:val="0"/>
              </w:rPr>
              <w:t xml:space="preserve">16.3.</w:t>
            </w:r>
            <w:r w:rsidR="00000000" w:rsidRPr="00000000" w:rsidDel="00000000">
              <w:rPr>
                <w:rtl w:val="0"/>
              </w:rPr>
              <w:t xml:space="preserve">, </w:t>
            </w:r>
            <w:r w:rsidR="00000000" w:rsidRPr="00000000" w:rsidDel="00000000">
              <w:rPr>
                <w:rtl w:val="0"/>
              </w:rPr>
              <w:t xml:space="preserve">16.4.</w:t>
            </w:r>
            <w:r w:rsidR="00000000" w:rsidRPr="00000000" w:rsidDel="00000000">
              <w:rPr>
                <w:rtl w:val="0"/>
              </w:rPr>
              <w:t xml:space="preserve">, </w:t>
            </w:r>
            <w:r w:rsidR="00000000" w:rsidRPr="00000000" w:rsidDel="00000000">
              <w:rPr>
                <w:rtl w:val="0"/>
              </w:rPr>
              <w:t xml:space="preserve">16.5.</w:t>
            </w:r>
            <w:r w:rsidR="00000000" w:rsidRPr="00000000" w:rsidDel="00000000">
              <w:rPr>
                <w:rtl w:val="0"/>
              </w:rPr>
              <w:t xml:space="preserve">, </w:t>
            </w:r>
            <w:r w:rsidR="00000000" w:rsidRPr="00000000" w:rsidDel="00000000">
              <w:rPr>
                <w:rtl w:val="0"/>
              </w:rPr>
              <w:t xml:space="preserve">16.6.</w:t>
            </w:r>
            <w:r w:rsidR="00000000" w:rsidRPr="00000000" w:rsidDel="00000000">
              <w:rPr>
                <w:rtl w:val="0"/>
              </w:rPr>
              <w:t xml:space="preserve">, </w:t>
            </w:r>
            <w:r w:rsidR="00000000" w:rsidRPr="00000000" w:rsidDel="00000000">
              <w:rPr>
                <w:rtl w:val="0"/>
              </w:rPr>
              <w:t xml:space="preserve">16.7.</w:t>
            </w:r>
            <w:r w:rsidR="00000000" w:rsidRPr="00000000" w:rsidDel="00000000">
              <w:rPr>
                <w:rtl w:val="0"/>
              </w:rPr>
              <w:t xml:space="preserve">, </w:t>
            </w:r>
            <w:r w:rsidR="00000000" w:rsidRPr="00000000" w:rsidDel="00000000">
              <w:rPr>
                <w:rtl w:val="0"/>
              </w:rPr>
              <w:t xml:space="preserve">16.10.</w:t>
            </w:r>
            <w:r w:rsidR="00000000" w:rsidRPr="00000000" w:rsidDel="00000000">
              <w:rPr>
                <w:rtl w:val="0"/>
              </w:rPr>
              <w:t xml:space="preserve"> vai </w:t>
            </w:r>
            <w:r w:rsidR="00000000" w:rsidRPr="00000000" w:rsidDel="00000000">
              <w:rPr>
                <w:rtl w:val="0"/>
              </w:rPr>
              <w:t xml:space="preserve">16.11.</w:t>
            </w:r>
            <w:r w:rsidR="00000000" w:rsidRPr="00000000" w:rsidDel="00000000">
              <w:rPr>
                <w:rtl w:val="0"/>
              </w:rPr>
              <w:t xml:space="preserve"> apakšpunktā</w:t>
            </w:r>
            <w:r w:rsidR="00000000" w:rsidRPr="00000000" w:rsidDel="00000000">
              <w:rPr>
                <w:rtl w:val="0"/>
              </w:rPr>
              <w:t xml:space="preserve">, </w:t>
            </w:r>
            <w:r w:rsidR="00000000" w:rsidRPr="00000000" w:rsidDel="00000000">
              <w:rPr>
                <w:i w:val="1"/>
                <w:rtl w:val="0"/>
              </w:rPr>
              <w:t xml:space="preserve">de minimis</w:t>
            </w:r>
            <w:r w:rsidR="00000000" w:rsidRPr="00000000" w:rsidDel="00000000">
              <w:rPr>
                <w:rtl w:val="0"/>
              </w:rPr>
              <w:t xml:space="preserve"> atbalstu drīkst piešķirt tikai tad, ja saimnieciskās darbības veicējs nodrošina šo nozaru darbību vai uzskaites nodalīšanu.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ir papildināti arī ar Regulas Nr.651/2014 nosacījumiem, lūdzam noteikumu papildināt ar normu, kas nosaka nosacījums par darbības vai izmaksu nošķiršanu gadījumā, ja uzņēmums darbojas gan izslēgtajās nozarēs, gan citās nozarēs, uz kurām attiecas Regulas Nr.651/2014 darbības 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Lēmumu par </w:t>
            </w:r>
            <w:r w:rsidR="00000000" w:rsidRPr="00000000" w:rsidDel="00000000">
              <w:rPr>
                <w:i w:val="1"/>
                <w:rtl w:val="0"/>
              </w:rPr>
              <w:t xml:space="preserve">de minimis</w:t>
            </w:r>
            <w:r w:rsidR="00000000" w:rsidRPr="00000000" w:rsidDel="00000000">
              <w:rPr>
                <w:rtl w:val="0"/>
              </w:rPr>
              <w:t xml:space="preserve"> atbalsta piešķiršanu atbilstoši šo noteikumu </w:t>
            </w:r>
            <w:r w:rsidR="00000000" w:rsidRPr="00000000" w:rsidDel="00000000">
              <w:rPr>
                <w:rtl w:val="0"/>
              </w:rPr>
              <w:t xml:space="preserve">22.</w:t>
            </w:r>
            <w:r w:rsidR="00000000" w:rsidRPr="00000000" w:rsidDel="00000000">
              <w:rPr>
                <w:rtl w:val="0"/>
              </w:rPr>
              <w:t xml:space="preserve"> punktam</w:t>
            </w:r>
            <w:r w:rsidR="00000000" w:rsidRPr="00000000" w:rsidDel="00000000">
              <w:rPr>
                <w:rtl w:val="0"/>
              </w:rPr>
              <w:t xml:space="preserve"> var pieņemt līdz Komisijas regulas Nr. 2023/2831 7. panta 3. punktā un 8. pantā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ir papildināti arī ar Regulas Nr.651/2014 nosacījumiem, lūdzam noteikumu papildināt ar normu, kas nosaka termiņu atbalsta sniegšanai ar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Garantijas uz Regulas 651/2014 14.panta pamata piešķir no brīža, kad Eiropas komisija ir saskaņojusi noteikumu 21.punktā minēto metodiku atbilstoši Regulas 651/2014 5.panta “c” “ii”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21.punkta izriet, ka subsīdijas ekvivalentu lielajam saimnieciskās darbības veicējam un mazai vidējās kapitalizācijas un vidējās kapitalizācijas sabiedrībai aprēķinās arī saskaņā Regulas Nr. 2023/2831 4. panta 6. punkta "d" “i” apakšpunkta nosacījumiem, lūdzam papildināt noteikumu 45.punktu ar atsauci arī uz šo  Regulas Nr. 2023/2831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izziņas 11.punktā sniegto informāciju, ka digitalizācijas garantijām paredzētā finansējuma 4 190 000 euro apmērā pārcelšana uz 1.2.3.3. pasākumu nemaina pasākumu finansējuma apmēru, bet tikai izsniedzamo garantiju apmēru, kas tiks paredzēts no Altum atmaksām, lūdzam attiecīgi papildināt anotācijas 1.3.sadaļā tehnisko precizējumu aprakstu ar iepriekš minēto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anotācijas 1.3. sadaļās apakšsadaļā "Risinājuma apraksts" sniegt informāciju kā kredītiestāžu loka paplašināšana ietekmēs 1.2.3.4.pasākuma garantiju programmas sasniedzamos rādītājus un kāds ir paredzamais darījumu apjoma pieaugums.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 sadaļu ar informāciju par veicamajiem grozījumiem Ministru kabineta 2023. gada 5. septembra noteikumos Nr. 510 "Eiropas Savienības kohēzijas politikas programmas 2021.–2027. gadam finanšu instrumentu kopīgie īstenošanas noteikumi", kā arī aicinām papildināt Ministru kabineta sēdes protokollēmuma projektu ar atbilstošu uzdevumu sagatavot un ekonomikas ministram iesniegt izskatīšanai Ministru kabinetā attiecīgos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Eiropas Komisija nesaskaņos Ekonomikas ministrijas piedāvātos grozījumus Eiropas Savienības kohēzijas politikas programmā 2021. - 2027.gadam, Ekonomikas ministrija veiks grozījumus attiecīgo pasākumu Ministru kabineta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interpretāciju par doto uzdevumu, lūdzam konkretizēt Ministru kabineta sēdes protokollēmuma projekta 4.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ko ir Ekonomikas ministrijas piedāvātie grozījumi Eiropas Savienības kohēzijas politikas programmā 2021.-2027. gadam, vai sniegt atbilstošu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kuros tieši Ministru kabineta noteikumos tiktu veikti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4. nemateriālie aktīvi atbilst Komisijas regulas Nr. 651/2014 14. panta 8. punktā minētajiem nosacījumiem. Lielajiem komersantiem nemateriālos aktīvus var finansēt līdz 50 % no sākotnējo ieguldījumu kopējām attiecināmajām ieguldījumu izmaksām. Sīkajiem (mikro), mazajiem vai vidējiem komersantiem nemateriālos aktīvus var finansēt 100 %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šīs programmas ietvaros atbalsta instruments ir garantija, lūdzam noteikumu 12.</w:t>
            </w:r>
            <w:r w:rsidR="00000000" w:rsidRPr="00000000" w:rsidDel="00000000">
              <w:rPr>
                <w:vertAlign w:val="superscript"/>
                <w:rtl w:val="0"/>
              </w:rPr>
              <w:t xml:space="preserve">1</w:t>
            </w:r>
            <w:r w:rsidR="00000000" w:rsidRPr="00000000" w:rsidDel="00000000">
              <w:rPr>
                <w:rtl w:val="0"/>
              </w:rPr>
              <w:t xml:space="preserve">4. apakšpunktu precizēt atbilstoši plānotajam, proti, piemēram, vārda "finansēt" vietā lietot vārdus "aizdevums, par kuru sniegta garantija", vienlaikus redakcionāli pielāgojot arī pārējo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2</w:t>
            </w:r>
            <w:r w:rsidR="00000000" w:rsidRPr="00000000" w:rsidDel="00000000">
              <w:rPr>
                <w:rtl w:val="0"/>
              </w:rPr>
              <w:t xml:space="preserve">3. Komisijas regulas Nr. 651/2014 13. panta "a" un "b" punktā noteiktajām 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16.23.1.apakšpuntā iekļautais, ka komersants, tai skaitā vērtējot saistītās grupas līmenī, nav uzskatāms par grūtībās nonākušu uzņēmumu saskaņā ar Regulas Nr. 651/2014 2. panta 18. punktu, nav attiecināms uz nozaru ierobežojošajiem nosacījumiem Aicinām precizēt noteikumu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ja tam ar tiesas spriedumu ir pasludināts maksātnespējas process, ir ierosināts vai tiek īstenots tiesiskās aizsardzības process vai ja saimnieciskās darbības veicējs ir iesniedzis apliecinājumu, ka tas atbilst normatīvajos aktos noteiktajiem kritērijiem, uz kuriem pamatojoties kreditors var pieprasīt maksātnespējas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18.1.apakšpunktu tā, lai skaidrs, ka 18.1.apakšpunkts attiecas uz de minimis atbalstu, jo attiecībā uz Regulas Nr.651/2014 gadījumiem grūtībās nonākušu uzņēmumu kritērijs ir iekļauts noteikumu 16.</w:t>
            </w:r>
            <w:r w:rsidR="00000000" w:rsidRPr="00000000" w:rsidDel="00000000">
              <w:rPr>
                <w:vertAlign w:val="superscript"/>
                <w:rtl w:val="0"/>
              </w:rPr>
              <w:t xml:space="preserve">2</w:t>
            </w:r>
            <w:r w:rsidR="00000000" w:rsidRPr="00000000" w:rsidDel="00000000">
              <w:rPr>
                <w:rtl w:val="0"/>
              </w:rPr>
              <w:t xml:space="preserve">3.1.apakšpunktā.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25-TA-400</w:t>
    </w:r>
    <w:r>
      <w:br/>
    </w:r>
    <w:r w:rsidR="00000000" w:rsidRPr="00000000" w:rsidDel="00000000">
      <w:rPr>
        <w:rtl w:val="0"/>
      </w:rPr>
      <w:t xml:space="preserve">Izdrukāts 13.06.2025.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25-TA-400</w:t>
    </w:r>
    <w:r>
      <w:br/>
    </w:r>
    <w:r w:rsidR="00000000" w:rsidRPr="00000000" w:rsidDel="00000000">
      <w:rPr>
        <w:rtl w:val="0"/>
      </w:rPr>
      <w:t xml:space="preserve">Izdrukāts 13.06.2025.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Atzinumi_25-TA-400.docx</dc:title>
</cp:coreProperties>
</file>

<file path=docProps/custom.xml><?xml version="1.0" encoding="utf-8"?>
<Properties xmlns="http://schemas.openxmlformats.org/officeDocument/2006/custom-properties" xmlns:vt="http://schemas.openxmlformats.org/officeDocument/2006/docPropsVTypes"/>
</file>