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23-TA-548: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2.2.3. specifiskā atbalsta mērķa “Uzlabot dabas aizsardzību un bioloģisko daudzveidību, “zaļo” infrastruktūru, it īpaši pilsētvidē, un samazināt piesārņojumu” 2.2.3.4. pasākuma “Vides monitoringa attīstība harmonizētai vides un klimata datu informācijas nodrošināšanai” projektu iesniegumu pirmās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jautājumi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MK noteikumu projektu ar punktu, kas nosaka pasākuma mērķa grupu, nodrošinot vienotu pieeju nosacījumiem, kas ietverami MK noteikumos par ES fondu investīciju īstenošanu.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Projekta iesniedzējs un sadarbības partneris (ja attiecināms), iesaistoties projekta īstenošanā, nodrošina, ka atlases kārtas ietvaros iegādātās iekārtas, informācijas sistēmas un izveidotā infrastruktūra tiek izmantota tikai pārvaldes uzdevumu un deleģēto pārvaldes uzdevumu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anotācijā norādīto, ka "</w:t>
            </w:r>
            <w:r w:rsidR="00000000" w:rsidRPr="00000000" w:rsidDel="00000000">
              <w:rPr>
                <w:i w:val="1"/>
                <w:rtl w:val="0"/>
              </w:rPr>
              <w:t xml:space="preserve">meteoroloģiskā radara iegūtos datus tieši izmantos LVĢMC tikai deleģēto valsts pārvaldes uzdevumu īstenošanai saskaņā ar VARAM deleģēšanas līgumu, kā arī Valsts akciju sabiedrība “Latvijas Gaisa satiksme”, tomēr pēc datu apkopošanas un sagatavošanas, nav izslēgts, ka meteoroloģiskie dati var tikt izmantoti arī citiem lietotājiem</w:t>
            </w:r>
            <w:r w:rsidR="00000000" w:rsidRPr="00000000" w:rsidDel="00000000">
              <w:rPr>
                <w:rtl w:val="0"/>
              </w:rPr>
              <w:t xml:space="preserve">", secināms, ka projekta ietvaros izveidoto infrastruktūru tiek plānots izmantot saimnieciskās darbības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Komisijas paziņojuma par Līguma par Eiropas Savienības darbību 107. panta 1. punktā minēto valsts atbalsta jēdzienu (2016/C 262/01) 207.punktam: "</w:t>
            </w:r>
            <w:r w:rsidR="00000000" w:rsidRPr="00000000" w:rsidDel="00000000">
              <w:rPr>
                <w:i w:val="1"/>
                <w:rtl w:val="0"/>
              </w:rPr>
              <w:t xml:space="preserve">Ja jaukta izmantojuma gadījumā infrastruktūru izmanto galvenokārt tikai nesaimnieciskajai darbībai, Komisija uzskata, ka valsts atbalsta noteikumi uz attiecīgo finansējumu var vispār neattiekties ar nosacījumu, ka saimnieciskā darbība ir vienīgi papildinoša, tas ir, šī darbība ir tieši saistīta ar infrastruktūras ekspluatāciju un tai nepieciešama vai nesaraujami saistīta ar tās galveno nesaimniecisko izmantojumu. Šis nosacījums būtu uzskatāms par izpildītu, ja saimnieciskajai darbībai patērē tos pašus resursus kā pamata nesaimnieciskajai darbībai, piemēram, tos pašus materiālus, iekārtas, darbaspēku vai pamatkapitālu. Papildinošās saimnieciskās darbības apjomam ir jāpaliek ierobežotam attiecībā pret infrastruktūras jaudu. Kā piemērus šādai papildinošai saimnieciskajai darbībai var minēt praksi, ka pētniecības organizācija dažkārt izīrē savas iekārtas un laboratorijas ražošanas nozaru partneriem.</w:t>
            </w:r>
            <w:r w:rsidR="00000000" w:rsidRPr="00000000" w:rsidDel="00000000">
              <w:rPr>
                <w:rtl w:val="0"/>
              </w:rPr>
              <w:t xml:space="preserve">" Šajā kontekstā infrastruktūras saimniecisko izmantojumu var uzskatīt par papildinošu, ja šai darbībai ik gadu atvēlētā jauda nepārsniedz 20 % no infrastruktūras kopējās gada jaudas. Ja infrastruktūras izmantojums ir paredzēts tāds, kā anotācijā skaidrots, tad lūdzam precizēt MK noteikumu projektu, paredzot nosacījumus papildinošas saimnieciskas darbības veikšanai, kā arī nosacījumus tās uzraudzībai visā projekta ietvaros izveidotās infrastruktūras amortizācijas perioda laikā, un novēršot pretrunas ar anotācijā skaidroto un MK noteikumu projekta 16.punktā minēto.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lūdzam arī norādīt, ka atbildīgā iestāde sagatavos metodiku par 20% nosacījuma kontroli (t.sk., nosakot tajā arī 20% nosacījuma uzraudzības sākuma punktu papildinošās saimnieciskās darbības gadījumā). Vēršam uzmanību, ka metodikai ir jābūt apstiprinātai pirms projektu iesniegumu atlases izsludināšanas.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Atlases kārtas ietvaros saskaņā ar vides politikas plānošanas dokumentos, deleģēšanas vai sadarbības līgumos noteiktajiem uzdevumiem ir atbalstāmas šādas darbības: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plašāk izvērtēt MK noteikumu projekta 19.punktā minētajām atbalstāmajām darbībām vienkāršoto izmaksu piemērošanas iespējas. Skaidrojam, ka galvenā vienkāršoto izmaksu nodrošinātā priekšrocība ir ievērojami mazināts administratīvais slogs, kā arī tiek samazināta kļūdu rašanās iespēja. Turklāt, izmantojot vienkāršotās izmaksas, saistītos cilvēkresursus un administratīvās darbības var vairāk novirzīt politikas mērķu īstenošanai un tie vairs nav jākoncentrē uz finanšu dokumentu apkopošanu un pārbaudi. Gadījumā, ja vienkāršoto izmaksu piemērošana papildus jau plānotajam nav iespējama, lūdzam pamatojumu norādīt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Trizna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21.9. atlīdzības izmaksas projekta vadībā un īstenošanā iesaistītajam personālam, kas projektā tiek nodarbināti vismaz 30 procentu apmērā no darba laika, tai skaitā valsts sociālās apdrošināšanas obligātās iemaksas, piemērojot vienoto likmi septiņu procentu apmērā no šo noteikumu </w:t>
            </w:r>
            <w:r w:rsidR="00000000" w:rsidRPr="00000000" w:rsidDel="00000000">
              <w:rPr>
                <w:rtl w:val="0"/>
              </w:rPr>
              <w:t xml:space="preserve">21. </w:t>
            </w:r>
            <w:r w:rsidR="00000000" w:rsidRPr="00000000" w:rsidDel="00000000">
              <w:rPr>
                <w:rtl w:val="0"/>
              </w:rPr>
              <w:t xml:space="preserve">punktā</w:t>
            </w:r>
            <w:r w:rsidR="00000000" w:rsidRPr="00000000" w:rsidDel="00000000">
              <w:rPr>
                <w:rtl w:val="0"/>
              </w:rPr>
              <w:t xml:space="preserve"> noteiktajām tiešajām attiecināmajām izmaksās, kas nav atlīdzības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MK noteikumu projekta 21.9. apakšpunktu ar informāciju, vai norādītās tiešās attiecināmās projekta īstenošanas personāla atlīdzības izmaksas ir attiecināmas gan uz finansējuma saņēmēju, gan uz sadarbības partneriem. Atbilstoši lūdzam precizēt arī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papildināt MK noteikumu projekta 21.9.apakšpunktu ar atsauci uz Regulas Nr. 2021/1060 55. panta 1. punktu, to redakcionāli precizējot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tiešās attiecināmās projekta vadības un īstenošanas personāla atlīdzības izmaksas, kuras saskaņā ar Regulas Nr. 2021/1060 55. panta 1. punktu projekta iesniegumā plāno kā vienu izmaksu pozīciju, piemērojot izmaksu vienoto likmi 7 procentu apmērā no šo noteikumu 21. punktā noteiktajām tiešajām attiecināmajām izmaksās, kas nav atlīdzības izmaksas;</w:t>
            </w:r>
          </w:p>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Trizna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21.10. finansējuma saņēmēja personāla darba braucienu un iekšzemes komandējumu transporta izmaksas (maksa par degvielu, sabiedriskā transporta izmantošana), kurām piemēro metodiku par vienas vienības izmaksu standarta likmes aprēķināšanu un piemērošanu viena kilometra izmaksām. Minēto metodiku nepiemēro piegādēm un pakalpojumiem, kuri iepirkti (noslēgts līgums) saskaņā ar publisko iepirkumu regulējumu;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norādot, kā projektā tiks nodrošināta vienota pieeja, ja viena un tā pati izmaksu pozīciju tiks segta, izmantojot vienkāršotās izmaksas un faktiskās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iepirkums nav šķērslis piemērot vienkāršotās izmaksas, līdz ar to lūdzam svītrot MK noteikumu projekta 21.10.apakšpunkta pēdējo teikumu </w:t>
            </w:r>
            <w:r w:rsidR="00000000" w:rsidRPr="00000000" w:rsidDel="00000000">
              <w:rPr>
                <w:rtl w:val="0"/>
              </w:rPr>
              <w:t xml:space="preserve">vai sniegt detalizētāku informāciju anotācijā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precizēt MK noteikumu projekta 21.10.apakšpunktu, norādot konkrētu atsauci uz piemērojamo metodiku atbilstoši piedāvātajai redakcijai.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saņēmēja personāla darba braucienu un iekšzemes komandējumu transporta izmaksas (maksa par degvielu, sabiedriskā transporta izmantošana), kurām piemēro vadošās iestādes izstrādāto metodiku “Vienas vienības izmaksu standarta likmes aprēķina un piemērošanas metodika 1 km izmaksām darbības programmas “Izaugsme un nodarbinātība” un Eiropas Savienības kohēzijas politikas programmas 2021.–2027.gadam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Trizna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 darba vietas aprīkojuma iegādes izmaksas jaunu darba vietu radīšanai vai esošo darba vietu atjaunošanai, uzturēšanai un remontam ne vairāk kā 3000 </w:t>
            </w:r>
            <w:r w:rsidR="00000000" w:rsidRPr="00000000" w:rsidDel="00000000">
              <w:rPr>
                <w:i w:val="1"/>
                <w:rtl w:val="0"/>
              </w:rPr>
              <w:t xml:space="preserve">euro </w:t>
            </w:r>
            <w:r w:rsidR="00000000" w:rsidRPr="00000000" w:rsidDel="00000000">
              <w:rPr>
                <w:rtl w:val="0"/>
              </w:rPr>
              <w:t xml:space="preserve">apmērā vienai darba vietai visā projekta īstenošanas laikā;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dubultā finansējuma risku, ņemot vērā, ka šobrīd vienas un tās pašas izmaksas, piemēram, biroja tehniku, var attiecināt gan atbilstoši MK noteikumu projekta 21.11. apakšpunktam, gan atbilstoši MK noteikumu projekta 23. punktam kā netiešās attiecināmās izmaksas, piemērojot vienoto likmi 15% apmērā. Līdz ar to aicinām skaidri nodalīt, kādas izmaksas ir attiecināmas atbilstoši MK noteikumu projekta 21.11. apakšpunktam un kādas - atbilstoši MK noteikumu projekta 23. punktam, lai novērstu dubultā finansējuma risku.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 darba vietas aprīkojuma iegādes izmaksas jaunu darba vietu radīšanai vai esošo darba vietu atjaunošanai, uzturēšanai un remontam ne vairāk kā 3000 </w:t>
            </w:r>
            <w:r w:rsidR="00000000" w:rsidRPr="00000000" w:rsidDel="00000000">
              <w:rPr>
                <w:i w:val="1"/>
                <w:rtl w:val="0"/>
              </w:rPr>
              <w:t xml:space="preserve">euro </w:t>
            </w:r>
            <w:r w:rsidR="00000000" w:rsidRPr="00000000" w:rsidDel="00000000">
              <w:rPr>
                <w:rtl w:val="0"/>
              </w:rPr>
              <w:t xml:space="preserve">apmērā vienai darba vietai visā projekta īstenošanas laikā;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MK noteikumu projekta 21.11.apakšpunktu ar informāciju, vai norādītās tiešās attiecināmās darba vietu aprīkojuma iegādes izmaksas ir attiecināmas gan uz finansējuma saņēmēju, gan uz sadarbības partneriem.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Finanšu ministrijas 2022.gada 25.augusta vadlīniju Nr. 1.2. "Vadlīnijas attiecināmo izmaksu noteikšanai Eiropas Savienības kohēzijas politikas programmas 2021.-2027.gada plānošanas periodā":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9.5. punktam, darba vietas aprīkojuma izmaksas ir attiecināmas atbilstoši darba laikam 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33.punktam, daļlaika izmaksu attiecināšanas principa gadījumā jāņem vērā darbinieka iesaistes periods projektā pret projekta kopējo īstenošanas ilgumu un daļlaika proporcija darbam 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lūdzam precizēt MK noteikumu projekta attiecīgo apakšpunktu, kā arī vienlaikus lūdzam anotāciju papildināt ar skaidrojumu, ka tiks vērtēts aprīkojuma iegādes samērīgums attiecībā uz darbiniekiem, kuriem tiek piemērots daļlaika noslodzes princips.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 Darba vietas aprīkojuma iegādes izmaksas jaunu darba vietu radīšanai vai esošo darba vietu atjaunošanai, uzturēšanai un remontam ne vairāk kā 3000 euro apmērā vienai darba vietai visā projekta īstenošanas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21.11.1. Ja projekta vadības vai īstenošanas personāls ir nodarbināts projektā normālu darba laiku, jaunradītas darba vietas aprīkojuma iegādes vai nomas izmaksas ir attiecināmas 100%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21.11.2. Ja projekta vadības vai īstenošanas personāls ir nodarbināts projektā nepilnu darba laiku, jaunradītas darba vietas aprīkojuma iegādes vai nomas izmaksas ir attiecināmas proporcionāli darba slodzes procentuālajam sadalījumam.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21.11.3. Daļlaika izmaksu attiecināšanas principa gadījumā tiek ņemts vērā darbinieka iesaistes periods projektā pret projekta kopējo īstenošanas ilgumu, kā arī proporcionāli darba slodzes procentuālajam sadalījumam.</w:t>
            </w:r>
          </w:p>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Trizna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Ja projekta vadības un projekta īstenošanas personāls iestādē veic pienākumus, kas saistīti ne tikai ar projektu, bet arī ar konkrētās iestādes pamatdarbību vai citu finanšu instrumentu administrēšanu, daļu no atlīdzības izmaksām var segt no projekta tiešajām attiecināmajām personāla izmaksām proporcionāli laikam, kurā tiek veikti ar projektu saistītie pienākumi, atbilstoši personāla darbalaika uzskaitei.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MK noteikumu projekta 22.punktu. Ja ir plānots tiešās attiecināmās projekta vadības personāla atlīdzības izmaksas segt atbilstoši Komisijas regulas Nr. 2021/1060 55. panta 1. punktam, tad Centrālā finanšu un līgumu aģentūra kā sadarbības iestāde pie maksājumu pieprasījumu izskatīšanas nepārbaudīs faktiskās personāla atlīdzības izmaksas, līdz ar to katrs projekta īstenotājs ir atbildīgs par atbilstošas grāmatvedības uzskaiti un Darba likumā noteikto normu 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Trizna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Projekta izmaksas ir attiecināmas no 2023. gada 1. janvāra.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pamatojumu, kas nosaka finanšu plūsmas pirms projekta apstiprināšanas nodrošināšanas nosacījumus, kā arī atbildīgās iestādes pienākumus un atbildību gadījumos, ja pirms projekta apstiprināšanas būs radušās izmaksas, kas nav attiecināmas no ES fondu līdzekļiem, ņemot vērā MK noteikumu projekta 26.punktā noteikto, ka projekta izmaksas ir attiecināmas no 2023.gada 1. janvāra (proti, izmaksas ir paredzēts attiecināt pirms līguma vai vienošanās noslēgšanas).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papildināt MK noteikumu projektu ar nosacījumu, ka  nedrīkst attiecināt jau pabeigtas darbības, kas radušās pirms MK noteikumu apstiprināšanas vai līgumu un vienošanās noslēgšanas brīža.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Sadarbības iestāde nodrošina projektu izvērtēšanu viena mēneša laikā pēc projektu iesniegumu saņemšanas.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nepārprotamu uztveramību un atbilstību Eiropas Savienības fondu 2021.-2027. gada plānošanas perioda vadības likumam, lūdzam MK noteikumu projekta 27.punktā noteikt, ka sadarbības iestāde lēmumu par projekta iesnieguma apstiprināšanu, apstiprināšanu ar nosacījumu vai noraidīšanu pieņem  viena mēneša laikā pēc projekta iesnieguma iesniegšanas beigu datuma. Vienlaikus lūdzam papildināt anotāciju, ka lēmuma pieņemšana būs viena mēneša laikā pēc projekta iesnieguma iesniegšanas beigu datuma.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punktā “Cita informācija” norādīt prognozēto uzturēšanas izmaksu apmēru un tā detalizētus aprēķinus, vienlaikus sniedzot informāciju, ar kuru gadu uzturēšanas izmaksas plānotas (proti, pēc projekta pabeigšanas), kā arī norādīt, kāpēc finansējums to segšanai ir nodrošināmas no valsts budžeta.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3.sadaļas 6.punktā sniegto informāciju, norādot katram gadam arī valsts budžeta līdzfinansējuma apmēru. Vienlaikus lūdzam arī pārskatīt norādīto finansējuma sadalījumu pa gadiem, jo kopsummā tas neatbilst MK noteikumu projekta 7.punktā norādītajam finansējuma apmēram.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pasākuma ietvaros projekta īstenotājs ir valsts kapitālsabiedrība, lūdzam anotācijas 3.sadaļā norādīt, kāpēc pasākuma ietvaros līdzfinansējums jānodrošina no valsts budžeta.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atlases kārtai pieejamo finansējumu;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MK noteikumu projekta 1.3.apakšpunktu ar vārdiem "plānoto un" pirms vārda "pieejamo".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Inita Petrova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prasības Eiropas Savienības Reģionālā attīstības fonda projekta (turpmāk – projekts) iesniedzējam (turpmāk – projekta iesniedzējs) un projekta sadarbības partnerim;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MK noteikumu projekta 1.4.apakšpunktu ar norādi, ka tiek noteiktas prasības arī finansējuma saņēmējam.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Pasākuma mērķteritorija ir Latvijas Republika.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vienotu regulējuma ietveršanu Eiropas Savienības fondus regulējošos noteikumos, lūdzam izteikt punktu šādā redakcijā: "Projekta īstenošanas vieta ir Latvijas Republika."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Projekta īstenošanas vieta ir Latvijas Republika.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Inita Petrova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Pasākuma projektu iesniegumu pirmās atlases kārtas projektu uzraudzības rādītāji un to sasniedzamās vērtības līdz 2029. gada 31. decembrim: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par MK noteikumu projekta 4.2.apakšpunktā minētā rādītāja sasniedzamajām vērtībām dalījumā pa kārtām.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iesūtīt Finanšu ministrijai aktualizētu pasākuma rādītāju metodoloģijas aprakstu, ņemot vērā pasākumā veiktās izmaiņas rādītāju vērtībās attiecībā uz sadalījumu kārtās.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specifiskais rezultāta rādītājs – nodrošinātais klimata un vides monitorings. Specifiskais rezultāta rādītājs tiek sasniegts, ja projektu ietvaros veikti ieguldījumi 58 vietās, lai izveidotu jaunas vai modernizētas esošās monitoringa vietas, sasniedzot vērtību 242 vietas.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rādītāja nosaukumu svītrojot vārdu "specifiskais". Atbilstošu precizējumu par šo rādītāju lūdzam veikt arī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rezultāta rādītājs – nodrošinātais klimata un vides monitorings. Rezultāta rādītājs tiek sasniegts, ja projektu ietvaros veikti ieguldījumi 58 vietās, lai izveidotu jaunas vai modernizēt</w:t>
            </w:r>
            <w:r w:rsidR="00000000" w:rsidRPr="00000000" w:rsidDel="00000000">
              <w:rPr>
                <w:b w:val="1"/>
                <w:rtl w:val="0"/>
              </w:rPr>
              <w:t xml:space="preserve">u</w:t>
            </w:r>
            <w:r w:rsidR="00000000" w:rsidRPr="00000000" w:rsidDel="00000000">
              <w:rPr>
                <w:rtl w:val="0"/>
              </w:rPr>
              <w:t xml:space="preserve"> esošās monitoringa vietas, sasniedzot vērtību 242 vietas.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Regīna Vigula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Projekta iesniedzējs atlases kārtas ietvaros ir valsts kapitālsabiedrība, kurai ir deleģēti valsts pārvaldes uzdevumi valsts vides monitoringa veikšanai un vienotas vides informācijas sistēmas veidošanā un attīstībā, – Latvijas Vides, ģeoloģijas un meteoroloģijas centrs.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MK noteikumu projekta 9.punktu ar informāciju, ka projekta iesniedzējs, kura projekta iesniegums ir apstiprināts, ir finansējuma saņēmējs.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Projekta iesniedzējs iesniedz vienu vai vairākus projekta iesniegumus. Ja projekta iesniedzējs plāno iesniegt vairākus projekta iesniegumus, tas nodrošina, ka visi projekti kopā nodrošina šo noteikumu </w:t>
            </w:r>
            <w:r w:rsidR="00000000" w:rsidRPr="00000000" w:rsidDel="00000000">
              <w:rPr>
                <w:rtl w:val="0"/>
              </w:rPr>
              <w:t xml:space="preserve">4. </w:t>
            </w:r>
            <w:r w:rsidR="00000000" w:rsidRPr="00000000" w:rsidDel="00000000">
              <w:rPr>
                <w:rtl w:val="0"/>
              </w:rPr>
              <w:t xml:space="preserve">punktā</w:t>
            </w:r>
            <w:r w:rsidR="00000000" w:rsidRPr="00000000" w:rsidDel="00000000">
              <w:rPr>
                <w:rtl w:val="0"/>
              </w:rPr>
              <w:t xml:space="preserve"> noteikto uzraudzības rādītāju izpildi un nepārsniedz šo noteikumu </w:t>
            </w:r>
            <w:r w:rsidR="00000000" w:rsidRPr="00000000" w:rsidDel="00000000">
              <w:rPr>
                <w:rtl w:val="0"/>
              </w:rPr>
              <w:t xml:space="preserve">7. </w:t>
            </w:r>
            <w:r w:rsidR="00000000" w:rsidRPr="00000000" w:rsidDel="00000000">
              <w:rPr>
                <w:rtl w:val="0"/>
              </w:rPr>
              <w:t xml:space="preserve">punktā</w:t>
            </w:r>
            <w:r w:rsidR="00000000" w:rsidRPr="00000000" w:rsidDel="00000000">
              <w:rPr>
                <w:rtl w:val="0"/>
              </w:rPr>
              <w:t xml:space="preserve"> noteikto finansējuma apjomu.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rīcību situācijā, ja tiks iesniegti vairāki projekta iesniegumi, proti, vai par katru tiks noslēgts līgums pa projekta īstenošanu, un kāda būs rīcība un sekas, ja visi projekti kopā nenodrošinās MK noteikumu projekta 4. vai 7.punktā noteikto nosacījumu izpildi.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Projekta iesniedzējs ar sadarbības partneri slēdz rakstveida sadarbības līgumu par pušu pienākumiem, tiesībām un atbildību projekta mērķa, rezultātu un rādītāju sasniegšanā un šo noteikumu </w:t>
            </w:r>
            <w:r w:rsidR="00000000" w:rsidRPr="00000000" w:rsidDel="00000000">
              <w:rPr>
                <w:rtl w:val="0"/>
              </w:rPr>
              <w:t xml:space="preserve">31. </w:t>
            </w:r>
            <w:r w:rsidR="00000000" w:rsidRPr="00000000" w:rsidDel="00000000">
              <w:rPr>
                <w:rtl w:val="0"/>
              </w:rPr>
              <w:t xml:space="preserve">punktā</w:t>
            </w:r>
            <w:r w:rsidR="00000000" w:rsidRPr="00000000" w:rsidDel="00000000">
              <w:rPr>
                <w:rtl w:val="0"/>
              </w:rPr>
              <w:t xml:space="preserve"> noteikto prasību nodrošināšanā, kā arī sadarbības partnera izveidotās infrastruktūras vai iegādāto iekārtu uzturēšanā atbilstoši normatīvajiem aktiem par kārtību, kādā Eiropas Savienības fondu vadībā iesaistītās institūcijas nodrošina Eiropas Savienības fondu ieviešanu, tostarp projekta sadarbības partneru piesaistes nosacījumus 2021.–2027. gada plānošanas periodā.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MK noteikumu projekta 13.punktā vārdus "kārtību, kādā Eiropas Savienības fondu vadībā iesaistītās institūcijas nodrošina Eiropas Savienības fondu ieviešanu, tostarp projekta sadarbības partneru piesaistes nosacījumus 2021.–2027. gada plānošanas periodā." ar vārdiem "kārtību, kādā Eiropas Savienības fondu vadībā iesaistītās institūcijas nodrošina Eiropas Savienības fondu ieviešanu 2021.–2027. gada plānošanas periodā".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Inita Petrova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Projekta iesniedzējs sadarbībā ar sadarbības partneri (ja attiecināms) saskaņā ar projektu iesniegumu atlases nolikuma prasībām elektroniski sagatavo projekta iesniegumu un iesniedz Centrālajā finanšu un līgumu aģentūrā (turpmāk - sadarbības iestāde), izmantojot Kohēzijas politikas fondu vadības informācijas sistēmu.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MK noteikumu projekta 17.punktā vārdus "Centrālajā finanšu un līgumu aģentūrā (turpmāk - sadarbības iestāde)" ar vārdiem "sadarbības iestādē", ņemot vērā, ka Centrālajā finanšu un līgumu aģentūra kā sadarbības iestāde ir nodefinēta Eiropas Savienības fondu 2021.-2027.gada plānošanas perioda vadības 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Inita Petrova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Projekta vērtēšanu, lēmuma par projekta iesnieguma apstiprināšanu, apstiprināšanu ar nosacījumu vai noraidīšanu pieņemšanu,  līguma par projekta īstenošanu slēgšanu un  projekta īstenošanas uzraudzību nodrošina sadarbības iestāde.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svītrot šo punktu, ņemot vērā, ka minētie pienākumi sadarbības iestādei noteikti Eiropas Savienības fondu  2021.-2027.gada plānošanas perioda vadības 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Regīna Vigula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Atlases kārtas ietvaros saskaņā ar vides politikas plānošanas dokumentos, deleģēšanas vai sadarbības līgumos noteiktajiem uzdevumiem ir atbalstāmas šādas darbības: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lietderību MK noteikumu projekta 19.punktā norādītajai atsaucei uz vides politikas plānošanas dokumentiem un deleģēšanas vai sadarbības līgumos noteiktajiem uzdevumiem. Vēršam uzmanību, ka MK noteikumu projektā ietveramajam atbalstāmo darbību tvērumam ir jāizriet no ES fondu kohēzijas politikas programmā 2021.-2027.gadam noteiktā, t.sk. sekmējot minētajā dokumentā noteikto mērķu un rādītāju sasniegšanu.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21.4.1. datu apstrādes sistēmu un pārraides iekārtu izstrāde (ja attiecināms) un uzstādīšana;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punkta redakciju, jo esošā redakcija liek domāt, ka datu apstrādes sistēmu un pārraides iekārtu izstrāde var arī netikt īstenota, jo iekavās ir atruna "ja attiecināms", taču uzstādīšana vienmēr ir attiecināma, t.sk. arī gadījumos, kad izstrāde nav veikta.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Martinsone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21.4.2. licenču un programmatūru, tostarp piesārņojošo vielu modelēšanas rīka iegādes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vai MK noteikumu projekta 21.4.2. un 21.4.3. apakšpunktā minētās izmaksas ir uzskatāmas par informācijas un komunikācijas tehnoloģiju uzturēšanas izmaksām/ biroja aprīkojuma iegādes izmaksām, kas ietilpst netiešajās izmaksās saskaņā ar vadošās iestādes vadlīniju Nr.1.1. "Vadlīnijas par vienkāršoto izmaksu izmantošanas iespējām un to piemērošana Eiropas Savienības kohēzijas politikas programmas 2021.–2027.gadam ietvaros" 29.-30.punktu.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Trizna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21.8. darbinieku apmācības un sertifikācijas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kā MK noteikumu projekta 21.8.apakšpunktā minētās attiecināmās izmaksas ir saistītas ar MK noteikumu projekta 19.punktā plānotajām atbalstāmajām darbībām.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Projekta netiešās attiecināmās izmaksas atbalstāmo darbību īstenošanai plāno kā vienu izmaksu pozīciju, piemērojot netiešo izmaksu vienoto likmi 15 procentu apmērā no šo noteikumu </w:t>
            </w:r>
            <w:r w:rsidR="00000000" w:rsidRPr="00000000" w:rsidDel="00000000">
              <w:rPr>
                <w:rtl w:val="0"/>
              </w:rPr>
              <w:t xml:space="preserve">21.9. </w:t>
            </w:r>
            <w:r w:rsidR="00000000" w:rsidRPr="00000000" w:rsidDel="00000000">
              <w:rPr>
                <w:rtl w:val="0"/>
              </w:rPr>
              <w:t xml:space="preserve">apakšpunktā</w:t>
            </w:r>
            <w:r w:rsidR="00000000" w:rsidRPr="00000000" w:rsidDel="00000000">
              <w:rPr>
                <w:rtl w:val="0"/>
              </w:rPr>
              <w:t xml:space="preserve"> minētajām izmaksām. Ja projekta īstenošanai tiek piesaistīts sadarbības partneris, netiešo attiecināmo izmaksu sadalījums starp projekta iesniedzēju un sadarbības partneri tiek noteikts sadarbības līgumā.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veikt redakcionālus precizējumus MK noteikumu projekta 23.punktā atbilstoši piedāvātajai redakcijai.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netiešās attiecināmās izmaksas atbalstāmo darbību īstenošanai plāno kā vienu izmaksu pozīciju, piemērojot netiešo izmaksu vienoto likmi 15 procentu apmērā no šo noteikumu 21.9.apakšpunktā minētajām tiešajām attiecināmajām personāla atlīdzības izmaksām. Ja projekta īstenošanai tiek piesaistīts sadarbības partneris, netiešo attiecināmo izmaksu sadalījums starp projekta iesniedzēju un sadarbības partneri tiek noteikts sadarbības līgumā.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Trizna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Atlases kārtas ietvaros attiecināms ir projekta attiecināmo izmaksu pievienotās vērtības nodoklis, ja projekta iesniedzējs to nevar atgūt atbilstoši normatīvajiem aktiem nodokļu jomā.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Eiropas Parlamenta un Padomes 2021. gada 24. jūnija Regulas (ES) Nr.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64.panta 1.punkta c) apakšpunktā ir noteikti PVN izmaksu robežsliekšņi: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Pievienotās vērtības nodoklis ir attiecināmās izmaksas no ES fondu finansējuma šādos gadījumos: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darbībām, kuru kopējās izmaksas ir mazākas par 5 000 000 EUR (ieskaitot PVN);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darbībām, kuru kopējās izmaksas ir vismaz 5 milj. (ieskaitot PVN), ja tās nav atgūstamas saskaņā ar PVN reglamentējošiem valsts tiesību aktiem.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lūdzam pārskatīt MK noteikumu projekta 25.punkta redakciju, nepieciešamības gadījumā to precizējot atbilstoši minētajam regulējumam.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anotāciju papildināt ar aprakstu, ka tiks novērsts dubultā finansējuma risks.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Trizna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Atlases kārtas un projekta īstenošanas un uzraudzības nosacījumi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papildināt MK noteikumu projektu ar punktu, kas nosaka sociāli atbildīga publiskā iepirkumu un inovatīvu publiskā iepirkumu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 nodrošina informācijas un publicitātes pasākumus, kas noteikti Eiropas Parlamenta un Padomes 2021.gada 24.jūnija regulā (ES) Nr. 2021/1060</w:t>
            </w:r>
            <w:r w:rsidR="00000000" w:rsidRPr="00000000" w:rsidDel="00000000">
              <w:rPr>
                <w:i w:val="1"/>
                <w:rtl w:val="0"/>
              </w:rPr>
              <w:t xml:space="preserve">,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w:t>
            </w:r>
            <w:r w:rsidR="00000000" w:rsidRPr="00000000" w:rsidDel="00000000">
              <w:rPr>
                <w:rtl w:val="0"/>
              </w:rPr>
              <w:t xml:space="preserve"> un normatīvajos aktos par kārtību, kādā publisko informāciju par projektiem un nodrošina Eiropas Savienības fondu publicitātes, saziņas un vizuālās identitātes prasību ieviešanu 2021.–2027. gada plānošanas periodā;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MK noteikumu projekta 31.1.apakšpunktā norādīto atsauci uz normatīvajiem aktiem izteikt šādā redakcijā: "Eiropas Parlamenta un Padomes 2021.gada 24.jūnija regulas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47. un 50. pantā un saskaņā ar kārtību, kādā Eiropas Savienības fondu vadībā iesaistītās institūcijas nodrošina šo fondu ieviešanu 2021.–2027.gada plānošanas periodā, kā arī Eiropas Savienības fondu 2021.–2027. gada plānošanas perioda un Atveseļošanas fonda komunikācijas un dizaina vadlīnijas."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31.12. nosaka pienākumu būvdarbu veicējiem un pakalpojumu sniedzējiem, ka: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dzēst 31.12 apakšpunktu, lai nedublētu būviecības nozares normatīvos paredzēto.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Sarmīte Lucāne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31.13. sniedz informāciju par enerģijas patēriņu pirms projekta īstenošanas un trīs gadus pēc noslēguma maksājuma veikšanas šo noteikumu </w:t>
            </w:r>
            <w:r w:rsidR="00000000" w:rsidRPr="00000000" w:rsidDel="00000000">
              <w:rPr>
                <w:rtl w:val="0"/>
              </w:rPr>
              <w:t xml:space="preserve">21.3.</w:t>
            </w:r>
            <w:r w:rsidR="00000000" w:rsidRPr="00000000" w:rsidDel="00000000">
              <w:rPr>
                <w:rtl w:val="0"/>
              </w:rPr>
              <w:t xml:space="preserve"> </w:t>
            </w:r>
            <w:r w:rsidR="00000000" w:rsidRPr="00000000" w:rsidDel="00000000">
              <w:rPr>
                <w:rtl w:val="0"/>
              </w:rPr>
              <w:t xml:space="preserve">apakšpunktā</w:t>
            </w:r>
            <w:r w:rsidR="00000000" w:rsidRPr="00000000" w:rsidDel="00000000">
              <w:rPr>
                <w:rtl w:val="0"/>
              </w:rPr>
              <w:t xml:space="preserve"> un </w:t>
            </w:r>
            <w:r w:rsidR="00000000" w:rsidRPr="00000000" w:rsidDel="00000000">
              <w:rPr>
                <w:rtl w:val="0"/>
              </w:rPr>
              <w:t xml:space="preserve">21.5.</w:t>
            </w:r>
            <w:r w:rsidR="00000000" w:rsidRPr="00000000" w:rsidDel="00000000">
              <w:rPr>
                <w:rtl w:val="0"/>
              </w:rPr>
              <w:t xml:space="preserve"> </w:t>
            </w:r>
            <w:r w:rsidR="00000000" w:rsidRPr="00000000" w:rsidDel="00000000">
              <w:rPr>
                <w:rtl w:val="0"/>
              </w:rPr>
              <w:t xml:space="preserve">apakšpunktā</w:t>
            </w:r>
            <w:r w:rsidR="00000000" w:rsidRPr="00000000" w:rsidDel="00000000">
              <w:rPr>
                <w:rtl w:val="0"/>
              </w:rPr>
              <w:t xml:space="preserve"> minēto attiecināmo izmaksu gadījumā.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31.13. apakšpunktu papildināt ar atsaucēm uz pārējiem 21. punkta apakšpunktiem, kas paredz iekārtu iegādi, atbilstoši MKN projekta anotācijas skaidrojumam, ka Energoefektivitātes likuma 15. panta trešā daļa attiecas uz aktivitātēm, kurās tiek uzlabotas vai iegādātas ēkas, iekārtas, transportlīdzekļi.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Martinsone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Avansa apguves termiņš finansējuma saņēmējam nepārsniedz deviņus mēnešus.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terminoloģiju uz "avansa maksājuma izlietošanas laiks " atbilstoši ES fondos lietotajai terminoloģijai.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sadaļu "Risinājuma apraksts", norādot vai plānotajām investīcijām būs tieša, netieša, vai nebūs ietekmes uz horizontālajiem principiem “Klimatdrošināšana”, “Energoefektivitāte pirmajā vietā” un “Nenodarīt būtisku kaitējumu”.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anotācijā norādīto informāciju par avansiem, papildinot ar vārdiem “starpposma maksājumi”, ņemot vērā, ka ir avansa un starpposma maksājumu kopsumma.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atsauci uz regulām noformēt atbilstoši juridiskās tehnikas prasībām, iekļaujot datumu pēc izdevējiestādes.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vienotās personāla atlīdzības likmes aprakstu, lūdzam ņemt vērā Finanšu ministrijas kā ES fondu vadošās iestādes atsevišķi no MK noteikumiem sniegtos komentārus un priekšlikumus.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Trizna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redakcionāli precizēt anotācijā ietverto informāciju par PVN "Saskaņā ar Kopīgo noteikumu regulas[18] 64.panta 1.punkta c) apakšpunktu  pievienotās vērtības nodoklis nav attiecināmās izmaksas, izņemot gadījumu, kad projektiem, kuru kopējās izmaksas ir vismaz 5 milj. euro (ieskaitot PVN), </w:t>
            </w:r>
            <w:r w:rsidR="00000000" w:rsidRPr="00000000" w:rsidDel="00000000">
              <w:rPr>
                <w:u w:val="single"/>
                <w:rtl w:val="0"/>
              </w:rPr>
              <w:t xml:space="preserve">ja tās nav atgūstamas saskaņā ar PVN reglamentējošiem valsts tiesību aktiem</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Trizna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aizpildīt anotācijas 3.sadaļas 5.1.apakšpunktu.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23-TA-548</w:t>
    </w:r>
    <w:r>
      <w:br/>
    </w:r>
    <w:r w:rsidR="00000000" w:rsidRPr="00000000" w:rsidDel="00000000">
      <w:rPr>
        <w:rtl w:val="0"/>
      </w:rPr>
      <w:t xml:space="preserve">Izdrukāts 26.04.2023. 21.53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23-TA-548</w:t>
    </w:r>
    <w:r>
      <w:br/>
    </w:r>
    <w:r w:rsidR="00000000" w:rsidRPr="00000000" w:rsidDel="00000000">
      <w:rPr>
        <w:rtl w:val="0"/>
      </w:rPr>
      <w:t xml:space="preserve">Izdrukāts 26.04.2023. 21.53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Atzinumi_23-TA-548.docx</dc:title>
</cp:coreProperties>
</file>

<file path=docProps/custom.xml><?xml version="1.0" encoding="utf-8"?>
<Properties xmlns="http://schemas.openxmlformats.org/officeDocument/2006/custom-properties" xmlns:vt="http://schemas.openxmlformats.org/officeDocument/2006/docPropsVTypes"/>
</file>