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darba devējs -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instrukcijai </w:t>
            </w:r>
            <w:r w:rsidR="00000000" w:rsidRPr="00000000" w:rsidDel="00000000">
              <w:rPr>
                <w:b w:val="1"/>
                <w:rtl w:val="0"/>
              </w:rPr>
              <w:t xml:space="preserve">darba devējs ir </w:t>
            </w:r>
            <w:r w:rsidR="00000000" w:rsidRPr="00000000" w:rsidDel="00000000">
              <w:rPr>
                <w:rtl w:val="0"/>
              </w:rPr>
              <w:t xml:space="preserve"> Uzņēmumu reģistrā reģistrēts komersants, kas atbilst sīkā (mikro), mazā un vidējā komersanta (MVU) statusam saskaņā ar Regulas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651/2014 ievilkuma 30.punktā noteikts, lai novērstu atšķirības, kas varētu radīt konkurences izkropļojumus, un lai atvieglotu dažādu Savienības un valstu iniciatīvu saskaņošanu attiecībā uz MVU, kā arī administratīvās skaidrības un juridiskās noteiktības labad šajā regulā izmantotās </w:t>
            </w:r>
            <w:r w:rsidR="00000000" w:rsidRPr="00000000" w:rsidDel="00000000">
              <w:rPr>
                <w:b w:val="1"/>
                <w:rtl w:val="0"/>
              </w:rPr>
              <w:t xml:space="preserve">MVU definīcijas pamatā būtu jāizmanto definīcija, kas noteikta Komisijas 2003. gada 6. maija Ieteikumā 2003/361/EK par mikrouzņēmumu, mazo un vidējo uzņēmumu definīciju</w:t>
            </w:r>
            <w:r w:rsidR="00000000" w:rsidRPr="00000000" w:rsidDel="00000000">
              <w:rPr>
                <w:rtl w:val="0"/>
              </w:rPr>
              <w:t xml:space="preserve">.Komisijas 2003. gada 6. maija Ieteikumā 2003/361/EK par mikrouzņēmumu, mazo un vidējo uzņēmumu definīciju 1.panta noteikts, ka par uzņēmumu uzskata </w:t>
            </w:r>
            <w:r w:rsidR="00000000" w:rsidRPr="00000000" w:rsidDel="00000000">
              <w:rPr>
                <w:b w:val="1"/>
                <w:rtl w:val="0"/>
              </w:rPr>
              <w:t xml:space="preserve">jebkuru saimnieciskās darbības subjektu neatkarīgi no tā juridiskās formas.</w:t>
            </w:r>
            <w:r w:rsidR="00000000" w:rsidRPr="00000000" w:rsidDel="00000000">
              <w:rPr>
                <w:rtl w:val="0"/>
              </w:rPr>
              <w:t xml:space="preserve"> </w:t>
            </w:r>
            <w:r w:rsidR="00000000" w:rsidRPr="00000000" w:rsidDel="00000000">
              <w:rPr>
                <w:b w:val="1"/>
                <w:rtl w:val="0"/>
              </w:rPr>
              <w:t xml:space="preserve">Pie tiem cita starpā pieder pašnodarbinātas personas un ģimenes uzņēmumi, kas nodarbojas ar amatniecību vai veic citu darbību</w:t>
            </w:r>
            <w:r w:rsidR="00000000" w:rsidRPr="00000000" w:rsidDel="00000000">
              <w:rPr>
                <w:rtl w:val="0"/>
              </w:rPr>
              <w:t xml:space="preserve">, kā arī personālsabiedrības un apvienības, kas iesaistītas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pie uzņēmuma pieskaita zemnieku saimniecības, ģimenes uzņēmumus (zemnieku saimniecības un ģimenes uzņēmumus reģistrē UR, nevis komercreģistrā), individuālos komersantus un fiziskās personas saimnieciskās darbības veicējus (pašnodarbinātās personas termins LR normatīvajos aktos tiek lietots tikai likuma "Par valsts sociālo apdrošināšanu" 1.panta 3.punktā izpratnē). Ievērojot minēto, lūdzam pārskatīt vai minētie nosacījumi nav attiecināmi arī uz citiem darba devējiem - zemnieku saimniecībām, ģimenes uzņēmumiem, fiziskām personām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devēja definīcija ir iekļauta Darba likuma 4.pantā pirmajā daļā un likuma “Par valsts sociālo apdrošināšanu” 1.panta 1.punktā, tajā nav ietverti savstarpējie darījumi starp pašnodarbinātām personām. Papildus minētajam ārējos normatīvajos aktos ir noteikta darba devēja definīcija, kas ir pretrunā instrukcijā minētajai jo pašnodarbinātās personas statuss nav saistāms ar darba devēja jēdzienu, kā tas ir ietvers instrukcijā. Līdz ar to instrukcijā ietvertā definīcija ir pretrunā ārējos normatīvajos aktos noteiktajai darba devēja definīcijai, kas var radīt atšķirīgu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Ņemot vērā minēto, ierosinām  instrukcijā lietot citu jēdzienu, kas ietvertu arī pašnodarbinātās personas (piemēram, atbalsta saņēmējs) vai  raksturotu personu loku, kuru darbiniekiem un kurām pašām ir tiesības pieteikties atbalsta pasākumiem darbinieku un pašnodarbināto personu profesionālajai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 atbildīga par šajā instrukcijā minēto nosacījumu izpildi un paredz to iekšējā kārtībā, sniedzot finansējumu atbalsta pasākumu īstenošanai pašvaldībām, izņemot pašvaldību darbinieku prasmju paaugstināšanas pasākumus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4.punktu normas viennozīmīgai izpratnei, ņemot vērā ka, instrukcijas projekts paredz noteikt vispārīgu kārtību darba devēju darbinieku vajadzībās balstītus atbalsta pasākumu ieviešanai nevis atbalsta pasākumu īstenošanai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Ministrijas atbalsta pasākumus var īstenot, organizējot atbalsta pasākumu ietvaros finansējuma saņēmēju atlasi vai ievērojot kārtību, kas paredzēta konkrētam atbalsta pasākumam. Eiropas Savienības fondu (turpmāk - ES fondu) investīcijām atbalsta pasākumu un finansējuma saņēmēju atlase norit ievērojot ES fondu horizontālos nosacījumus un procedūras un šo instrukciju.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Savienības fondu 2021.—2027. gada plānošanas perioda vadības likuma izriet, ka ES fondu ietvaros projektu iesniegumu atlase tiek organizēta saskaņā ar ES fondu horizontālajiem noteikumiem un atbilstoši Ministru kabineta noteikumu par specifisko atbalsta mērķi noteiktai kārtībai un projekta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instrukcijas projekta 8.punktā vārdus "un šo instrukciju", jo tas kā norit projekta iesniegumu atlase, jau izriet no augstāk uzskaitītā regulējuma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instrukcijas projekta 8.punktā aizstāt vārdus "finansējuma saņēmēju" ar vārdiem "projekta iesniegumu", nodrošinot atbilstību likumā noteiktajai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saskaņā ar Valsts ieņēmumu dienesta administrēto nodokļu (nodevu) parādnieku datubāzē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projekta iesnieguma iesniegšanas dienā, precizētā projekta iesnieguma iesniegšanas dienā vai lēmuma pieņemšanas dienā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18.panta pirmās daļas 8.punktam Valsts ieņēmumu dienesta administrēto nodokļu (nodevu) parādnieku datubāzē </w:t>
            </w:r>
            <w:r w:rsidR="00000000" w:rsidRPr="00000000" w:rsidDel="00000000">
              <w:rPr>
                <w:b w:val="1"/>
                <w:rtl w:val="0"/>
              </w:rPr>
              <w:t xml:space="preserve">publisko</w:t>
            </w:r>
            <w:r w:rsidR="00000000" w:rsidRPr="00000000" w:rsidDel="00000000">
              <w:rPr>
                <w:rtl w:val="0"/>
              </w:rPr>
              <w:t xml:space="preserve"> informāciju, ja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w:t>
            </w:r>
            <w:r w:rsidR="00000000" w:rsidRPr="00000000" w:rsidDel="00000000">
              <w:rPr>
                <w:b w:val="1"/>
                <w:rtl w:val="0"/>
              </w:rPr>
              <w:t xml:space="preserve">vai attiecībā uz kuriem ir noslēgts vienošanās līgums saskaņā ar šā likuma 41. pantu. </w:t>
            </w:r>
            <w:r w:rsidR="00000000" w:rsidRPr="00000000" w:rsidDel="00000000">
              <w:rPr>
                <w:rtl w:val="0"/>
              </w:rPr>
              <w:t xml:space="preserve">Ievērojot minēto, instrukcijas 9.2 apakšpunkts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pasākuma ietvaros ministrija šīs instrukcijas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Nr.108 "Normatīvo aktu projektu sagatavošanas noteikumi" 3.punkts paredz,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instrukcijas projekta saturu, konstatēts, ka atsevišķi regulējumi jau izriet no ES fondu regulējošo normatīvo aktu prasībām un nosacījumiem. Līdz ar to lūdzam pārskatīt instrukcijas projektā noteiktos nosacījumus, neietverot dublējošas tiesību normas instrukcijas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īstenotu saskaņotu starpresoru sadarbību un lēmumu pieņemšanu nepieciešamo darba tirgus pārkārtojumu plānošanā, izstrādē, ieviešanā un uzraudzībā, Ministrija, izstrādātos atbalsta pasākums iesniedz izskatīšanai Cilvēkkapitāla attīstības padomē (turpmāk –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instrukcijas projekta IV nodaļu "Iesaistīto pušu pienākumi un tiesības" ar informāciju par kārtību, kādā ministrijas iesniedz sagatavotos ES fondu un Atveseļošanas fonda atbalsta pasākumus izskatīšanai Cilvēkkapitāla attīstības padomē (turpmāk - Padome), t.sk. norādot, kurā brīdī nepieciešams Padomes saskaņojums/rekomendācija attiecībā uz ES fondu un Atveseļošanas fonda investīcijām, ņemot vēra, ka ES fondu investīciju nosacījumi tiek skaņoti gan ES fondu Uzraudzības komitejā (attiecībā uz atlases kritērijiem), gan tiesību aktu portālā (attiecībā uz Ministru kabineta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noteikt, izskatīt, sniegt priekšlikumus,apstiprināt un aktualizēt ministriju atbildībā esošo publiski finansēto pieaugušo izglītības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instrukcijas projekta 13.1.apakšpunktu atbilstoši saskaņošanas sanāksmē sniegtajai informācijai, ka instrukcija un tās tvērums skar šaurāku pasākumu klāstu pieaugušo izglītības jomā, nekā Cilvēkkapitāla attīstības stratēģijā minēts, t.i. tikai uz pasākumiem, kas skar komersantus un to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uz kuriem tieši Eiropas Savienības kohēzijas politikas programmas 2021.-2027.gadam (turpmāk - Programma) pasākumiem un/vai Atveseļošanas fonda investīcijām attiecas instrukcija, norādot, kuri Programmas pasākumi jau ir saskaņoti Padomē, piemēram, Programmas 4.2.4.1.pasākuma "Atbalsts nozaru vajadzībās balstītai pieaugušo izglītībai" 1.kārtas un 4.2.4.2.pasākuma "Atbalsts pieaugušo individuālajās vajadzībās balstītai pieaugušo izglītībai" ieviešanas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izziņas vai anotācijas ietvaros skaidrot anotācijā ietverto norādi, ka ne visi atbalsta pasākumi, kas attiecas uz Ministru kabineta instrukcijas tvērumu ir plānoti kā Ministru kabineta noteikumi vai atbalsts ar konkrētu fondu finansējumu, Atjaunošanas un noturības mehānisma plāna, vai valsts budžeta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salāgot ar visiem instrukcijas projektā veiktajiem precizējumiem, piemēram, attiecībā uz Padomes funkcijām, instrukcijas projekta tvērumu, atbalsta nosacījumiem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1.3.sadaļā precizēt norādīto Ministru kabineta 2024. gada 7.maija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w:t>
            </w:r>
            <w:r w:rsidR="00000000" w:rsidRPr="00000000" w:rsidDel="00000000">
              <w:rPr>
                <w:u w:val="single"/>
                <w:rtl w:val="0"/>
              </w:rPr>
              <w:t xml:space="preserve">īstenošanas noteikumi"</w:t>
            </w:r>
            <w:r w:rsidR="00000000" w:rsidRPr="00000000" w:rsidDel="00000000">
              <w:rPr>
                <w:rtl w:val="0"/>
              </w:rPr>
              <w:t xml:space="preserve">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