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bezatlīdzības lietošanā biedrībai "Latvijas Neredzīgo biedrība"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materiāli_197_205)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materiāli_Baldones)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materiāli_Bukmuižas 20)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materiāli_Dunikas iela 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materiāli_Dunikas iela 5A)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materiāli_Krūmu iela 28)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Tiesību akta lietai pievienotajiem paskaidrojošajiem dokumentiem izriet, ka rīkojuma projektā minētie nekustamie īpašumi apgrūtināti ar dažādām lietu tiesībām. Ņemot vērā minēto, lūdzam skaidrot  apgrūtinājumu ietekmi uz rīkojuma izpildi.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 Ministru kabineta 2021. gada 7. septembra noteikumu Nr.617 "Tiesību akta projekta sākotnējās ietekmes izvērtēšanas kārtība" 2. punkts noteic, ka sākotnējās ietekmes izvērtēšanas mērķis ir </w:t>
            </w:r>
            <w:r w:rsidR="00000000" w:rsidRPr="00000000" w:rsidDel="00000000">
              <w:rPr>
                <w:u w:val="single"/>
                <w:rtl w:val="0"/>
              </w:rPr>
              <w:t xml:space="preserve">apzināt ietekmi un sekas, ko var radīt projekts, un, pamatojoties uz iegūtajiem secinājumiem, izvēlēties piemērotāko regulējuma apjomu, saturu un formu.</w:t>
            </w:r>
            <w:r w:rsidR="00000000" w:rsidRPr="00000000" w:rsidDel="00000000">
              <w:rPr>
                <w:rtl w:val="0"/>
              </w:rPr>
              <w:t xml:space="preserve"> Sākotnējās ietekmes izvērtēšanas rezultātus </w:t>
            </w:r>
            <w:r w:rsidR="00000000" w:rsidRPr="00000000" w:rsidDel="00000000">
              <w:rPr>
                <w:u w:val="single"/>
                <w:rtl w:val="0"/>
              </w:rPr>
              <w:t xml:space="preserve">atspoguļo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tabulā atsauces uz atsevišķām Eiropas Komisijas 13.12.2023. regulas (ES) 2023/2831 par Līguma par Eiropas Savienības darbību 107. un 108. panta piemērošanu de minimis atbalstam normām (turpmāk - Regula) normām, piemēram, Regulas 3. panta 2. punktam nav daļu. Tāpat tabulā norādīts, ka rīkojuma projekta 3.1. apakšpunkts atbilst Regulas 8. pantam, kurā noteikts, ka to piemēro līdz </w:t>
            </w:r>
            <w:r w:rsidR="00000000" w:rsidRPr="00000000" w:rsidDel="00000000">
              <w:rPr>
                <w:u w:val="single"/>
                <w:rtl w:val="0"/>
              </w:rPr>
              <w:t xml:space="preserve">2030. gada 31. decembrim.</w:t>
            </w:r>
            <w:r w:rsidR="00000000" w:rsidRPr="00000000" w:rsidDel="00000000">
              <w:rPr>
                <w:rtl w:val="0"/>
              </w:rPr>
              <w:t xml:space="preserve"> Savukārt rīkojuma projekta 3.1. apakšpunkts paredz, ka de minimis atbalsts sabiedriskā labuma organizācijai samazinātas likumiskās lietošanas maksas veidā cita starp tiks nodrošināts ne ilgāk kā līdz </w:t>
            </w:r>
            <w:r w:rsidR="00000000" w:rsidRPr="00000000" w:rsidDel="00000000">
              <w:rPr>
                <w:u w:val="single"/>
                <w:rtl w:val="0"/>
              </w:rPr>
              <w:t xml:space="preserve">2031. gada 30.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u w:val="single"/>
                <w:rtl w:val="0"/>
              </w:rPr>
              <w:t xml:space="preserve">jūnijam.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24-TA-3331</w:t>
    </w:r>
    <w:r>
      <w:br/>
    </w:r>
    <w:r w:rsidR="00000000" w:rsidRPr="00000000" w:rsidDel="00000000">
      <w:rPr>
        <w:rtl w:val="0"/>
      </w:rPr>
      <w:t xml:space="preserve">Izdrukāts 13.01.2025.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24-TA-3331</w:t>
    </w:r>
    <w:r>
      <w:br/>
    </w:r>
    <w:r w:rsidR="00000000" w:rsidRPr="00000000" w:rsidDel="00000000">
      <w:rPr>
        <w:rtl w:val="0"/>
      </w:rPr>
      <w:t xml:space="preserve">Izdrukāts 13.01.2025.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