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palielinot finansējumu iekšējai konsolidācijai, palielinās arī finansējuma apjoms, kas jāparedz noteikumu 19.2. un 19.3. apakšpunktā paredzēto darbību īstenošanai. Šobrīd noteikumu 15. punkts paredz, ka katram šo noteikumu 14. punktā paredzētajam konsolidācijas gadījumam vismaz 45 procenti no kopējā piešķirtā finansējuma investīcijas otrās kārtas projektā ir jāparedz šo noteikumu 19.2. un 19.3. apakšpunktā paredzēto darbību īstenošanai (akadēmiskās karjeras grantu, kā arī iekšējo pētniecības un attīstības grantu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ar aprēķiniem, kā veidojas finansiālais aprēķins iekšējās konsolidācijas rezultātu rādītāju sasniegšanai, parādot cik procenti no piešķirtā finansējuma ir plānoti rezultatīvo rādītāju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Ginters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15.08.2023.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15.08.2023.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Atzinumi_22-TA-2792.docx</dc:title>
</cp:coreProperties>
</file>

<file path=docProps/custom.xml><?xml version="1.0" encoding="utf-8"?>
<Properties xmlns="http://schemas.openxmlformats.org/officeDocument/2006/custom-properties" xmlns:vt="http://schemas.openxmlformats.org/officeDocument/2006/docPropsVTypes"/>
</file>