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Finanšu ministrija – aprēķināto papildu nepieciešamo finansējumu pašvaldību budžetā nodarbināto atlīdzībai normālā darba laika ietvaros, kā arī nodarbināto, uz kuriem attieksies minimālās mēneša darba algas paaugstinājums, ja priekšlikums paredz paaugstināt minimālo mēneša darba 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ministrijas kompetencē nav veikt aprēķinus par papildus nepieciešamo finansējumu pašvaldību budžetā nodarbināto atlīdzībai. Līdz ar to neatbalstām minētā apakšpunkta iekļaušanu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jautājums par pašvaldību ieņēmumiem ir risināms budžeta sagatavošanas un izskatīšanas procesā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3.sadaļas punktu “Cita informācija”, norādot, ka jautājums par minimālās mēneša darba algas apmēra paaugstināšanu skatāms Ministru kabinetā likumprojekta par valsts budžetu kārtējam gadam un vidēja termiņa budžeta ietvaru sagatavošanas un izskatīšanas procesā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06.09.2024.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06.09.2024.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