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33.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finansējuma saņēmējs un sadarbības partneris nodrošina informācijas un publicitātes pasākumus saskaņā ar Regulas Nr. 2021/1060 47. un 50. pantu un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08.01.2024.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08.01.2024.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