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29. septembra noteikumos Nr. 603 "Noteikumi par nekustamā īpašuma darījumu starpnieka reģistrācijas maksu un ikgadējo uzraudzības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Ministru kabineta 2020. gada 29. septembra noteikumu Nr. 603 "Noteikumi par nekustamā īpašuma darījumu starpnieka reģistrācijas maksu un ikgadējo uzraudzības maksu" 5. punkts tiek svītrots, jo tajā ietvertā norma par noteikumu 3. un 4. punkta spēkā stāšanās datumu ir izpildīta un tai nav patstāvīgas tiesiskas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6.1. sadaļu par nevalstiskajām organizācijām (ar Latvijas Nekustamo īpašumu darījumu asociāciju).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11.08.2026.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11.08.2026.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Atzinumi_26-TA-1210.docx</dc:title>
</cp:coreProperties>
</file>

<file path=docProps/custom.xml><?xml version="1.0" encoding="utf-8"?>
<Properties xmlns="http://schemas.openxmlformats.org/officeDocument/2006/custom-properties" xmlns:vt="http://schemas.openxmlformats.org/officeDocument/2006/docPropsVTypes"/>
</file>