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Dabasgāzes lietotājam, kas glabā dabasgāzi Inčukalna pazemes gāzes krātuvē, nav ierobežota tā rīcībā esošās dabasgāzes izņemšana no krātuves, ja Ministru kabinets nav lēmis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paredz, ka dabasgāzes lietotājam, kas glabā dabasgāzi Inčukalna pazemes gāzes krātuvē, nav ierobežota tā rīcībā esošās dabasgāzes izņemšana no krātuves, ja Ministru kabinets nav lēmis citādi. Vēršam uzmanību uz to, ka atbilstoši noteikumu projekta 25. un 27.punktam dabasgāzes sadales sistēmas operators ir atbildīgs par dabasgāzes piegādes pārtraukšanu un dabasgāzes patēriņa ierobežojumu ievērošanas kontroli. Ja dabasgāzes sadales sistēmas operatora rīcībā nebūs informācijas par lietotājiem, kas glabā dabasgāzi Inčukalna pazemes gāzes krātuvē un glabājamās dabasgāzes apjomiem, tad nebūs iespējams nodrošināt noteikumu projekta 28.punktā paredzētā regulējuma izpildi. Ievērojot minēto, noteikumu projektu ir nepieciešams papildināt ar regulējumu par dabasgāzes sadales sistēmas operatora informēšanu par dabasgāzes lietotājiem, kas Inčukalna pazemes gāzes krātuvē glabā sev piederošo dabasgāzi un glabājamās dabasgāzes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enerģētiskās krīzes dabasgāzes nozarē pārvarēšanai dabasgāzes lietotāji tiek iedalīti sešās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atrunā dabasgāzes lietotāju iedalīšanu grupās. Vērtējot lietotāju grupu veidošanas kritērijus pašreizējā redakcijā var secināt, ka atsevišķo grupu lietotāji var būt piederīgi vienlaicīgi vairākām grupām. Lai novērstu dažāds interpretācijas un nepieļautu pārpratumus enerģētiskās krīzes apstākļos, aicinām precizēt atsevišķu dabasgāzes lietotāju grupu izveidošanas nosacījumus un izteikt 14.2., 14.3. un 14.5. apakšpunktu šādā redakcijā (skat.redakciju pie projekta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otrās grupas dabasgāzes lietotāji - pārtikas un lauksaimniecības produktu ražotnes, izņemot šo noteikumu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minētos dabasgāzes lietotājus;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14.punkta.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otrās grupas dabasgāzes lietotāji - pārtikas un lauksaimniecības produktu ražotnes, izņemot šo noteikumu </w:t>
            </w:r>
            <w:r w:rsidR="00000000" w:rsidRPr="00000000" w:rsidDel="00000000">
              <w:rPr>
                <w:u w:val="single"/>
                <w:rtl w:val="0"/>
              </w:rPr>
              <w:t xml:space="preserve">14.1 un 14.4.apakšpunktā</w:t>
            </w:r>
            <w:r w:rsidR="00000000" w:rsidRPr="00000000" w:rsidDel="00000000">
              <w:rPr>
                <w:rtl w:val="0"/>
              </w:rPr>
              <w:t xml:space="preserve"> minētos dabasgāzes lietotājus;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trešās grupas dabasgāzes lietotāji – energoapgādes komersanti, kuru gazificēto objektu maksimālā atļautā slodze ir lielāka par 25 m</w:t>
            </w:r>
            <w:r w:rsidR="00000000" w:rsidRPr="00000000" w:rsidDel="00000000">
              <w:rPr>
                <w:vertAlign w:val="superscript"/>
                <w:rtl w:val="0"/>
              </w:rPr>
              <w:t xml:space="preserve">3</w:t>
            </w:r>
            <w:r w:rsidR="00000000" w:rsidRPr="00000000" w:rsidDel="00000000">
              <w:rPr>
                <w:rtl w:val="0"/>
              </w:rPr>
              <w:t xml:space="preserve">/h, bet mazāka vai vienāda ar 4999 m</w:t>
            </w:r>
            <w:r w:rsidR="00000000" w:rsidRPr="00000000" w:rsidDel="00000000">
              <w:rPr>
                <w:vertAlign w:val="superscript"/>
                <w:rtl w:val="0"/>
              </w:rPr>
              <w:t xml:space="preserve">3</w:t>
            </w:r>
            <w:r w:rsidR="00000000" w:rsidRPr="00000000" w:rsidDel="00000000">
              <w:rPr>
                <w:rtl w:val="0"/>
              </w:rPr>
              <w:t xml:space="preserve">/h;</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14.punkta.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trešās grupas dabasgāzes lietotāji – energoapgādes komersanti, kuru gazificēto objektu maksimālā atļautā slodze ir lielāka par 25 m3/h, bet mazāka vai vienāda ar 4999 m3/h, </w:t>
            </w:r>
            <w:r w:rsidR="00000000" w:rsidRPr="00000000" w:rsidDel="00000000">
              <w:rPr>
                <w:u w:val="single"/>
                <w:rtl w:val="0"/>
              </w:rPr>
              <w:t xml:space="preserve"> izņemot 14.4.apakšpunktā minētos dabasgāzes lietotājus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piektās grupas dabasgāzes lietotāji – energoapgādes komersanti, kuru gazificēto objektu maksimālā atļautā slodze ir vienāda vai lielāka par 5000 m</w:t>
            </w:r>
            <w:r w:rsidR="00000000" w:rsidRPr="00000000" w:rsidDel="00000000">
              <w:rPr>
                <w:vertAlign w:val="superscript"/>
                <w:rtl w:val="0"/>
              </w:rPr>
              <w:t xml:space="preserve">3</w:t>
            </w:r>
            <w:r w:rsidR="00000000" w:rsidRPr="00000000" w:rsidDel="00000000">
              <w:rPr>
                <w:rtl w:val="0"/>
              </w:rPr>
              <w:t xml:space="preserve">/h;</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komentāru pie 14.punkta.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piektās grupas dabasgāzes lietotāji – energoapgādes komersanti, kuru gazificēto objektu maksimālā atļautā slodze ir vienāda vai lielāka par 5000 m3/h,</w:t>
            </w:r>
            <w:r w:rsidR="00000000" w:rsidRPr="00000000" w:rsidDel="00000000">
              <w:rPr>
                <w:u w:val="single"/>
                <w:rtl w:val="0"/>
              </w:rPr>
              <w:t xml:space="preserve"> izņemot 14.4.apakšpunktā minētos dabasgāzes lietotājus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minētajā dabasgāzes lietotāju sarakstā par nodrošināmiem lietotājiem norāda gazificēto objektu skaitu un grupas kopējo iepriekšējā gada dabasgāzes patēriņu, savukārt par otrās, trešās, piektās un sestās grupas dabasgāzes lietotājiem norāda dabasgāzes lietotāja nosaukumu, gazificētā objekta adresi, atļauto slodzi un iepriekšējā gada dabasgāzes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nosaka dabasgāzes lietotāju grupu saraksta veidošanas nosacījumus. Par nodrošināmajiem lietotājiem (1.grupa) ir paredzēts norādīt gazificēto objektu skaitu un grupas kopējo iepriekšējā gada dabasgāzes patēriņu, savukārt par pārējām grupām ir jānorāda katra dabasgāzes lietotāja nosaukumu, gazificētā objekta adresi, atļauto slodzi un iepriekšējā gada dabasgāzes patēriņu. Ievērojot to, ka dabasgāzes 6.grupas lietotājiem ir viszemākā prioritārā nozīme tautsaimniecības un sociālā jomā un krīzes apstākļos tai paredzētie ierobežojumi visdrīzāk būs vienādi visiem grupas lietotājiem, lai mazinātu administratīvo slogu un taupītu darba resursus, ierosinām samazināt par 6.grupu sniedzamās informācijas detalizāciju un noteikt, ka par 6.grupas lietotājiem informācija tiek sniegta, norādot gazificēto objektu skaitu un grupas kopējo iepriekšējā gada dabasgāzes patēriņu (līdzīgi, kā tas ir paredzēts 1.grupai).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realizācijai ierosinām noteikumu projekta 17.punktu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16.punktā minētajā dabasgāzes lietotāju sarakstā par pirmās grupas (nodrošināmiem) lietotājiem un sestās grupas lietotājiem norāda gazificēto objektu skaitu un grupas kopējo iepriekšējā gada dabasgāzes patēriņu, savukārt par otrās, trešās un piektās grupas dabasgāzes lietotājiem norāda dabasgāzes lietotāja nosaukumu, gazificētā objekta adresi, atļauto slodzi un iepriekšējā gada dabasgāzes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Ekonomikas ministrija sadarbībā ar dabasgāzes sistēmas operatoriem sagatavo un elektroniska dokumenta formā iesniedz Ministrijā ceturtās grupas dabasgāzes lietotāju sarakstu, ņemot vērā dabasgāzes lietotāja nozīmi tautsaimniecībā, kā arī seku smagumu, kas iestāsies, ierobežojot vai pārtraucot dabasgāzes piegādi attiecīgā lietotāja gazificētajam objektam valsts enerģētiskās krīzes laikā. Sarakstā norāda dabasgāzes lietotāja nosaukumu, gazificētā objekta adresi, atļauto slodzi un iepriekšējā gada dabasgāzes patēriņu un pieļaujamo dabasgāzes piegādes samazinājuma apjomu. Sarakstu atjauno pēc nepieciešamības, bet ne retāk kā reizi gadā līdz attiecīgā gada 1. aprīlim, un Ekonomikas ministrija informē attiecīgos lietotājus par iekļaušanu sarakstā vai svītrošanu no 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krīzes apstākļos, kad pieejamie dabasgāzes apjomi kļūst ierobežoti, Gaso skatījumā svarīgi būtu aktualizēt jautājumu par atsevišķo lietotāju pienākumu izveidot un uzturēt alternatīvā kurināmā rezerves. Ievērojot minēto ierosinām izvērtēt iespēju, veidojot ceturtās grupas lietotāju (tautsaimniecībai nozīmīgo objektu) sarakstu, ņemt vērā rezerves kurināmā izmantošanas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realizācijai ierosinām noteikumu projekta 18.punktu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Ekonomikas ministrija sadarbībā ar dabasgāzes sistēmas operatoriem sagatavo un elektroniska dokumenta formā iesniedz Ministrijā ceturtās grupas dabasgāzes lietotāju sarakstu, ņemot vērā dabasgāzes lietotāja nozīmi tautsaimniecībā,</w:t>
            </w:r>
            <w:r w:rsidR="00000000" w:rsidRPr="00000000" w:rsidDel="00000000">
              <w:rPr>
                <w:u w:val="single"/>
                <w:rtl w:val="0"/>
              </w:rPr>
              <w:t xml:space="preserve"> rezerves kurināmā izmantošanas iespējas</w:t>
            </w:r>
            <w:r w:rsidR="00000000" w:rsidRPr="00000000" w:rsidDel="00000000">
              <w:rPr>
                <w:rtl w:val="0"/>
              </w:rPr>
              <w:t xml:space="preserve">, kā arī seku smagumu, kas iestāsies, ierobežojot vai pārtraucot dabasgāzes piegādi attiecīgā lietotāja gazificētajam objektam valsts enerģētiskās krīzes laikā. Sarakstā norāda dabasgāzes lietotāja nosaukumu, gazificētā objekta adresi, atļauto slodzi un iepriekšējā gada dabasgāzes patēriņu un pieļaujamo dabasgāzes piegādes samazinājuma apjomu. Sarakstu atjauno pēc nepieciešamības, bet ne retāk kā reizi gadā līdz attiecīgā gada 1. aprīlim, un Ekonomikas ministrija informē attiecīgos lietotājus par iekļaušanu sarakstā vai svītrošanu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18.07.2024.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