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25-TA-1337: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nekustamo īpašumu nodošanu Rīgas Tehniskajai universitātei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 par RTU īpašuma tiesībām uz piestātni)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nekustamo īpašumu Matrožu ielā; Matrožu ielā 20 (nekustamā īpašuma kadastra Nr. 0100 062 0002) – zemes vienību (zemes vienības kadastra apzīmējums 0100 062 0002) 1,8092 ha, tai skaitā publiskie ūdeņi 0,3253 ha platībā, un biroja ēkas II kārtu – pamatus (būves kadastra apzīmējums 0100 062 0002 001) – Rīgā;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3.punktā noteikts, ka īpašuma tiesības uz šā rīkojuma 1.1. apakšpunktā minēto nekustamo īpašumu Rīgas Tehniskajai universitātei (turpmāk - RTU) zemesgrāmatā nostiprināmas pēc publisko ūdeņu atdalīšanas.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pat laikā saskaņā ar rīkojuma projekta 1.1.apakšpunktu RTU īpašumā tiek nodota nevis daļa no nekustamā īpašuma sastāvā esošās zemes vienības, bet gan visa zemes vienība 1,8092 ha platībā, tai skaitā publiskie ūdeņi 0,3253 ha platībā. Ievērojot minēto, lūdzam precizēt rīkojuma projekta 1.1.apakšpunktu, lai viennozīmīgi ir skaidrs, ka RTU īpašumā netiek nodoti publiskie ūdeņi, tostarp, lūdzam skaidrot anotācijā, kas veiks nepieciešamās darbības publisko ūdeņu nodalīšanai no rīkojuma projekta 1.1.apakšpunktā minētā nekustamā īpašuma sastāva.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25-TA-1337</w:t>
    </w:r>
    <w:r>
      <w:br/>
    </w:r>
    <w:r w:rsidR="00000000" w:rsidRPr="00000000" w:rsidDel="00000000">
      <w:rPr>
        <w:rtl w:val="0"/>
      </w:rPr>
      <w:t xml:space="preserve">Izdrukāts 15.12.2025. 14.15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25-TA-1337</w:t>
    </w:r>
    <w:r>
      <w:br/>
    </w:r>
    <w:r w:rsidR="00000000" w:rsidRPr="00000000" w:rsidDel="00000000">
      <w:rPr>
        <w:rtl w:val="0"/>
      </w:rPr>
      <w:t xml:space="preserve">Izdrukāts 15.12.2025. 14.15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Atzinumi_25-TA-1337.docx</dc:title>
</cp:coreProperties>
</file>

<file path=docProps/custom.xml><?xml version="1.0" encoding="utf-8"?>
<Properties xmlns="http://schemas.openxmlformats.org/officeDocument/2006/custom-properties" xmlns:vt="http://schemas.openxmlformats.org/officeDocument/2006/docPropsVTypes"/>
</file>