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VNĪ energoauditora saņemto informāciju par noteikumu projekta 1. pielikumā iekļauto četru ēku iespējamo primārās enerģijas ietaupījumu, CFLA norāda uz ļoti augstu risku vidēji investīcijas ietvaros sasniegt plānoto 30% primārās enerģijas ietaupījumu un uzskata, ka šādu ēku iekļaušana noteikumu projekta 1. pielikumā nav pamatota, attiecīgi lūdzam šo ēku nomaiņu, kas ir vērstas uz lielāku primārās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Pulka 8, Rīgā (Muzeju krātuve, gandrīz jauna ēka, varētu ietaupīt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Mūkusalas 3, Rīgā (LNB ēka, arī samērā jauna ēka, ēkas energosertifikātā piedāvāti risinājumi 6% ietaupījumam);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Aspazijas 3, Rīgā (LNO ēka, vēsturiska ēka, ēkas energosertifikātā piedāvāti risinājumi 4% ietaupījumam);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iela 15 un Kalnciema 10 k-2, Rīga (ēkas renovētas 2011. gadā, līdz ar to ietaupījuma potenciāls ierobežots; ēkas energosertifikātā piedāvāti risinājumi 17% ietaupījumam).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“PVN izdevumu segšanas pamatojums no valsts budžeta” norādīts, ka </w:t>
            </w:r>
            <w:r w:rsidR="00000000" w:rsidRPr="00000000" w:rsidDel="00000000">
              <w:rPr>
                <w:u w:val="single"/>
                <w:rtl w:val="0"/>
              </w:rPr>
              <w:t xml:space="preserve">valsts akciju sabiedrība “Valsts nekustamie īpašumi” (turpmāk – VNĪ) veic valsts deleģētās funkcijas</w:t>
            </w:r>
            <w:r w:rsidR="00000000" w:rsidRPr="00000000" w:rsidDel="00000000">
              <w:rPr>
                <w:rtl w:val="0"/>
              </w:rPr>
              <w:t xml:space="preserve"> attiecībā uz valstij piederošie nekustamo īpašumu pienācīgu izmantošanu, uzskaiti un citas nepieciešamās darbības ar valstij piederošiem nekustamiem īpašumiem, un 1.3.apakšsadaļā “Projekta īstenošanas nosacījumi” norādīts, ka </w:t>
            </w:r>
            <w:r w:rsidR="00000000" w:rsidRPr="00000000" w:rsidDel="00000000">
              <w:rPr>
                <w:u w:val="single"/>
                <w:rtl w:val="0"/>
              </w:rPr>
              <w:t xml:space="preserve">VNĪ saskaņā ar normatīvos aktos noteikto deleģējumu</w:t>
            </w:r>
            <w:r w:rsidR="00000000" w:rsidRPr="00000000" w:rsidDel="00000000">
              <w:rPr>
                <w:rtl w:val="0"/>
              </w:rPr>
              <w:t xml:space="preserve"> veic valsts nekustamo īpašumu pārvaldīšanu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pirmajai un otrajai daļai publiskas personas nekustamā īpašuma pārvaldīšana ir šā īpašuma valdītāja uzdevums, kas ietver pienākumu nodrošināt nekustamā īpašuma lietošanu un uzturēšanu (fizisku saglabāšanu visā tā ekspluatācijas laikā) atbilstoši normatīvo aktu prasībām un veicināt tā uzlabošanu, un publiskas personas nekustamā īpašuma valdītājs šā īpašuma pārvaldīšanu nodrošina tieši vai pastarpināti, uzdodot pārvaldīšanas darbības veikt savā padotībā esošai iestādei vai kapitālsabiedrībai, kuras pamatdarbības veids ir nekustamā īpašuma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VNĪ pārvalda valsts īpašumā Finanšu ministrijas personā esošos nekustamos īpašumus </w:t>
            </w:r>
            <w:r w:rsidR="00000000" w:rsidRPr="00000000" w:rsidDel="00000000">
              <w:rPr>
                <w:u w:val="single"/>
                <w:rtl w:val="0"/>
              </w:rPr>
              <w:t xml:space="preserve">saskaņā ar starp Finanšu ministriju un VNĪ noslēgto pārvaldīšanas līgumu, taču minētajai kapitālsabiedrībai nav normatīvajos aktos noteikts šāds deleģējums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26.06.2023. 22.34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26.06.2023. 22.34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Atzinumi_22-TA-2941.docx</dc:title>
</cp:coreProperties>
</file>

<file path=docProps/custom.xml><?xml version="1.0" encoding="utf-8"?>
<Properties xmlns="http://schemas.openxmlformats.org/officeDocument/2006/custom-properties" xmlns:vt="http://schemas.openxmlformats.org/officeDocument/2006/docPropsVTypes"/>
</file>