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Digitālā kultūras mantojuma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(viedoklu_parskats_23-TA-485)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Platformas pārvaldības organizācija ir digitālā kultūras mantojuma kompetenču centrs. Uz sadarbības līguma pamata ar digitālā kultūras mantojuma kompetenču centru valsts vai pašvaldību institūcijas nosaka sadarbības apjomu, tiesības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svītrojams Ministru kabineta noteikumu projekta 30.punkts, ņemot vērā, ka tas veido pretrunu ar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atbilstoši precizēt noteikumu projekta 31.punktu.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2019.gada 22.maija Ministru kabineta rīkojuma Nr.238 “Par informācijas sabiedrības attīstības pamatnostādņu ieviešanu publiskās pārvaldes informācijas sistēmu jomā (mērķarhitektūras 53.0. versija)” 5.punktu ir noteikts, ka projekta rezultātu uzturēšanas izmaksas pēc projekta pabeigšanas ir</w:t>
            </w:r>
            <w:r w:rsidR="00000000" w:rsidRPr="00000000" w:rsidDel="00000000">
              <w:rPr>
                <w:b w:val="1"/>
                <w:rtl w:val="0"/>
              </w:rPr>
              <w:t xml:space="preserve"> ne vairāk kā</w:t>
            </w:r>
            <w:r w:rsidR="00000000" w:rsidRPr="00000000" w:rsidDel="00000000">
              <w:rPr>
                <w:rtl w:val="0"/>
              </w:rPr>
              <w:t xml:space="preserve"> 189 728 euro gadā, </w:t>
            </w:r>
            <w:r w:rsidR="00000000" w:rsidRPr="00000000" w:rsidDel="00000000">
              <w:rPr>
                <w:b w:val="1"/>
                <w:rtl w:val="0"/>
              </w:rPr>
              <w:t xml:space="preserve">ja nepieciešams</w:t>
            </w:r>
            <w:r w:rsidR="00000000" w:rsidRPr="00000000" w:rsidDel="00000000">
              <w:rPr>
                <w:rtl w:val="0"/>
              </w:rPr>
              <w:t xml:space="preserve">, pieprasot papildu finansējumu normatīvajos aktos noteiktajā kārtībā, kā arī saskaņā ar 2016.gada 20.decembra Ministru kabineta rīkojuma Nr.780 "Par informācijas sabiedrības attīstības pamatnostādņu ieviešanu publiskās pārvaldes informācijas sistēmu jomā (mērķarhitektūras 4.0. versija)" 4.punktu ir noteikts, ka projekta rezultātu uzturēšanas izmaksas pēc projekta pabeigšanas ir 294 000 euro gadā, pieprasot papildu finansējumu normatīvajos aktos noteiktajā kārtībā. Ņemot vērā minēto, nav pamatojuma anotācijā uzrādītajai informācijai, ka, atsaucoties uz iepriekš Ministru kabinetā pieņemtajiem rīkojuma projektiem noteikumu projekta īstenošanai nepieciešamais finansējums ir 483 728 euro apmērā un tas pilnā apmērā ir pieprasāms papildus KM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pamatojumu un detalizētiem aprēķiniem Digitālā kultūras mantojuma platformas uzturēšanas izmaksu segšanai, t.sk., sniedzot informāciju par finansējuma apmēru, kāds šim mērķim tiks novirzīts no KM esošajiem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pārceļot to uz sadaļu "Cita informācija" un sniedzot skaidru un saprotamu informāciju, kā tiek plānots nodrošināt finansējumu noteikumu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politiku instrumentu un pārējo ārvalstu finanšu palīdzības līdzfinansēto pabeigto projektu uzturēšanai kārtējā gadā finansējums var tikt piešķirts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kā arī 2018.gada 17.jūlija Ministru kabineta noteikumu Nr.421 "Kārtība, kādā veic gadskārtējā valsts budžeta likumā noteiktās apropriācijas izmaiņas" ceturtajā sadaļā "Līdzekļu pārdale no programmas "Apropriācijas rezerve"" ietvertajiem nosacījumiem. Savukārt turpmākajiem gadiem finansējums var tikt iekļauts bāzes izdevumos, ievērojot 2023.gada 17.janvāra Ministru kabineta noteikumu Nr.15 "Maksimāli pieļaujamā valsts budžeta izdevumu kopapjoma un  katrai ministrijai un citai centrālajai valsts iestādei paredzētā izdevumu kopējā apjoma noteikšanas kārtība vidējam termiņam" 9.4.apakšpunktā noteiktos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svītrojama arī informācija 3.kolonnas "izmaiņas kārtējā gadā, salīdzinot ar valsts budžetu kārtējam gadam" 5. un 5.1.apakšpunktā, norādot to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23-TA-485</w:t>
    </w:r>
    <w:r>
      <w:br/>
    </w:r>
    <w:r w:rsidR="00000000" w:rsidRPr="00000000" w:rsidDel="00000000">
      <w:rPr>
        <w:rtl w:val="0"/>
      </w:rPr>
      <w:t xml:space="preserve">Izdrukāts 24.01.2024.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23-TA-485</w:t>
    </w:r>
    <w:r>
      <w:br/>
    </w:r>
    <w:r w:rsidR="00000000" w:rsidRPr="00000000" w:rsidDel="00000000">
      <w:rPr>
        <w:rtl w:val="0"/>
      </w:rPr>
      <w:t xml:space="preserve">Izdrukāts 24.01.2024.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Atzinumi_23-TA-485.docx</dc:title>
</cp:coreProperties>
</file>

<file path=docProps/custom.xml><?xml version="1.0" encoding="utf-8"?>
<Properties xmlns="http://schemas.openxmlformats.org/officeDocument/2006/custom-properties" xmlns:vt="http://schemas.openxmlformats.org/officeDocument/2006/docPropsVTypes"/>
</file>