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1.2.1.2. pasākuma "Produktivitātes aizdevumi uzņēmumu inovācijām"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par Komisijas 2014. gada 17. jūnija Regulas (ES) Nr. 651/2014, ar ko noteiktas atbalsta kategorijas atzīst par saderīgām ar iekšējo tirgu, piemērojot Līguma 107. un 108. pantu (turpmāk – Komisijas regula Nr. 651/2014) 9. panta 1. un 4. punktā noteikto publicēšanas pasākumu īstenošanu un Komisijas regulas Nr. 651/2014 12.panta 1. punktā noteikto atbalsta sniedzēja pienākumu nodrošināt dokumentācijas glabāšanu 10 gadus, sākot no dienas, kad ir piešķirts pēdējais atbalsts saskaņā ar atbalsta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gala labuma guvējs - Latvijas Republikas komercreģistrā reģistrēts komersants, kas atbilst vienam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terminoloģiju, kāda izmantota 05.09.2023. MK noteikumos Nr. 510 "Eiropas Savienības kohēzijas politikas programmas 2021.–2027. gadam finanšu instrumentu kopīgie īstenošanas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gala saņēmējs - Latvijas Republikas komercreģistrā reģistrēts komersants, kas atbilst vienam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gala labuma guvējs - Latvijas Republikas komercreģistrā reģistrēts komersants, kas atbilst vienam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prasību, kas paredz, ka atbalsts netiek sniegts gala labuma guvējam, uz kuru attiecas neizpildīts līdzekļu atgūšanas rīkojums saskaņā ar iepriekšēju Eiropas Komisijas lēmumu, ar ko atbalsts, kuru piešķīrusi tā pati dalībvalsts, atzīts par nelikumīgu un nesaderīgu ar kopējo tirgu, atbilstoši Komisijas regulas Nr.651/2014 1.panta 4.punkta "a" un "b" apakšpunktā noteiktajam. Lūdzam ņemt vērā, ka šo nosacījumu vērtē uzņēmuma grupas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 mazā un vidējā komersanta statusam saskaņā ar Komisijas regulas Nr. 651/2014 I pielikuma 2. panta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Komisijas regulas Nr. 651/2014 I pielikuma 2. panta 1. punktā noteikto, lūdzam papildināt 2.10.1.apakšpunktu ar terminu "mikrouzņēmums" vai "sīkie (mikro) komersanti".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Izmantojot pasākuma ietvaros atmaksāto publisko finansējumu (klientu maksājumus un pamatsummas atmaksas), sabiedrība "Altum" var: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Attīstības finanšu institūcijas likuma 12.panta 4. ceturto daļu Ministru kabinets apstiprina programmas un nosaka to īstenošanas kārtību, finansējumu, atbalstāmo darbību un izmaksu attiecināmības nosacījumus, tai skaitā finansējumu Finanšu institūcijas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10.punktā ietvertā norma neatbilst augstāk minētajai likuma normai, jo nesatur finansējuma apmēru, lūdzam vai nu svītrot šī noteikuma projekta 10.punktu, vai noteikt atmaksātā publiskā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Atbalsta piešķiršanas nosacījumi inovatīvu produktu izstrādei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pienākumu atmaksāt nelikumīgi saņemto komercdarbības atbalstu arī gadījumos, kad tiek pārkāptas Komisijas regulas Nr.651/2014 prasības, lūdzam papildināt noteikumu projekta II nodaļu ar nelikumīga atbalsta atgūšanas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Atbalstu sniedz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64.panta 1.punkta "b" apakšpunktā noteikto, lūdzam papildināt 18.punktu ar nosacījumu, ka zemes iegādes izmaksas nepārsniedz 10% no projekta attiecināmo izdevumu kopsummas.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ja gala labuma guvējs vienlaikus darbojas vienā vai vairākās neatbalstāmajās nozarēs un veic neatbalstāmās darbības vai citas darbības, kas ietilpst Komisijas regulas Nr. 2023/2831 darbības jomā, tas nodrošina šo nozaru darbību vai izmaksu nodalīšanu saskaņā ar Komisijas regulas Nr. 2023/2831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noteikumiem viennozīmīgi būtu skaidri Komisijas 2023. gada 13. decembra Regulas (ES) 2023/2831 par Līguma par Eiropas Savienības darbību 107. un 108. panta piemērošanu de minimis atbalstam (turpmāk – Komisijas regula Nr. 2023/2831) 1. panta 2. punkta nosacījumi, lūdzam noteikumu projekta 27.2. akakšpunktu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ja gala labuma guvējs vienlaikus darbojas kādā no Komisijas regulas Nr. 2023/2831 1.panta 1.punkta "a", "b", "c" vai "d" apakšpunktā minētajām neatbalstāmajām nozarēm, atbalstu drīkst piešķirt tikai tad, ja gala labuma guvējs skaidri nodala darbības un finanšu plūsmas atbalstāmās nozarēs saskaņā ar Komisijas regulas Nr. 2023/2831 1. panta 2. punktu, nodrošinot, ka darbības izslēgtajās nozarēs negūst labumu no pasākuma ietvaros piešķirtā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lai saņemtu atbalstu, gala labuma guvējs sabiedrībā "Altum" līdz ar pieteikumu iesniedz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norādot ziņas par fiskālo gadu un diviem iepriekšējiem fiskālajiem gadiem. Gala labuma guvējs līdz ar pieteikumu iesniedz aizpildītu </w:t>
            </w:r>
            <w:r w:rsidR="00000000" w:rsidRPr="00000000" w:rsidDel="00000000">
              <w:rPr>
                <w:i w:val="1"/>
                <w:rtl w:val="0"/>
              </w:rPr>
              <w:t xml:space="preserve">de minimis</w:t>
            </w:r>
            <w:r w:rsidR="00000000" w:rsidRPr="00000000" w:rsidDel="00000000">
              <w:rPr>
                <w:rtl w:val="0"/>
              </w:rPr>
              <w:t xml:space="preserve"> veidlapas izdruku vai informē par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uz to, ka gala labuma guvēja aizpildītajā </w:t>
            </w:r>
            <w:r w:rsidR="00000000" w:rsidRPr="00000000" w:rsidDel="00000000">
              <w:rPr>
                <w:i w:val="1"/>
                <w:rtl w:val="0"/>
              </w:rPr>
              <w:t xml:space="preserve">de minimis</w:t>
            </w:r>
            <w:r w:rsidR="00000000" w:rsidRPr="00000000" w:rsidDel="00000000">
              <w:rPr>
                <w:rtl w:val="0"/>
              </w:rPr>
              <w:t xml:space="preserve"> atbalsta uzskaites veidlapā ir iekļauta informācija par trīs gadu periodā no veidlapas iesniegšanas brīža saņemto </w:t>
            </w:r>
            <w:r w:rsidR="00000000" w:rsidRPr="00000000" w:rsidDel="00000000">
              <w:rPr>
                <w:i w:val="1"/>
                <w:rtl w:val="0"/>
              </w:rPr>
              <w:t xml:space="preserve">de minimis</w:t>
            </w:r>
            <w:r w:rsidR="00000000" w:rsidRPr="00000000" w:rsidDel="00000000">
              <w:rPr>
                <w:rtl w:val="0"/>
              </w:rPr>
              <w:t xml:space="preserve"> atbalstu, kā arī ņemot vērā to, ka informācija par iepriekš saņemto </w:t>
            </w:r>
            <w:r w:rsidR="00000000" w:rsidRPr="00000000" w:rsidDel="00000000">
              <w:rPr>
                <w:i w:val="1"/>
                <w:rtl w:val="0"/>
              </w:rPr>
              <w:t xml:space="preserve">de minimis</w:t>
            </w:r>
            <w:r w:rsidR="00000000" w:rsidRPr="00000000" w:rsidDel="00000000">
              <w:rPr>
                <w:rtl w:val="0"/>
              </w:rPr>
              <w:t xml:space="preserve"> atbalstu, atbilstoši Komisijas regulas Nr.2023/2831 noteiktajam, ir jānorāda trīs gadu laika posmā, kas šīs regulas vajadzībām ir noteikts kā "slīdošais periods", proti, trīs gadu periods no </w:t>
            </w:r>
            <w:r w:rsidR="00000000" w:rsidRPr="00000000" w:rsidDel="00000000">
              <w:rPr>
                <w:i w:val="1"/>
                <w:rtl w:val="0"/>
              </w:rPr>
              <w:t xml:space="preserve">de minimis</w:t>
            </w:r>
            <w:r w:rsidR="00000000" w:rsidRPr="00000000" w:rsidDel="00000000">
              <w:rPr>
                <w:rtl w:val="0"/>
              </w:rPr>
              <w:t xml:space="preserve"> atbalsta piešķiršanas lēmuma pieņemšanas dienas, aicinām precizēt noteikumu projekta 27.4. apakšpunktu,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lai saņemtu atbalstu, gala labuma guvējs aizpilda </w:t>
            </w:r>
            <w:r w:rsidR="00000000" w:rsidRPr="00000000" w:rsidDel="00000000">
              <w:rPr>
                <w:i w:val="1"/>
                <w:rtl w:val="0"/>
              </w:rPr>
              <w:t xml:space="preserve">de minimis</w:t>
            </w:r>
            <w:r w:rsidR="00000000" w:rsidRPr="00000000" w:rsidDel="00000000">
              <w:rPr>
                <w:rtl w:val="0"/>
              </w:rPr>
              <w:t xml:space="preserve"> atbalsta uzskaites veidlapu, ievērojot normatīvos aktus par </w:t>
            </w:r>
            <w:r w:rsidR="00000000" w:rsidRPr="00000000" w:rsidDel="00000000">
              <w:rPr>
                <w:i w:val="1"/>
                <w:rtl w:val="0"/>
              </w:rPr>
              <w:t xml:space="preserve">de minimis </w:t>
            </w:r>
            <w:r w:rsidR="00000000" w:rsidRPr="00000000" w:rsidDel="00000000">
              <w:rPr>
                <w:rtl w:val="0"/>
              </w:rPr>
              <w:t xml:space="preserve">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un sabiedrībā "Altum" līdz ar pieteikumu iesniedz aizpildītas </w:t>
            </w:r>
            <w:r w:rsidR="00000000" w:rsidRPr="00000000" w:rsidDel="00000000">
              <w:rPr>
                <w:i w:val="1"/>
                <w:rtl w:val="0"/>
              </w:rPr>
              <w:t xml:space="preserve">de minimis</w:t>
            </w:r>
            <w:r w:rsidR="00000000" w:rsidRPr="00000000" w:rsidDel="00000000">
              <w:rPr>
                <w:rtl w:val="0"/>
              </w:rPr>
              <w:t xml:space="preserve"> atbalsta uzskaites veidlapas izdruku vai pieteikumā norāda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sabiedrība "Altum" pirms </w:t>
            </w:r>
            <w:r w:rsidR="00000000" w:rsidRPr="00000000" w:rsidDel="00000000">
              <w:rPr>
                <w:i w:val="1"/>
                <w:rtl w:val="0"/>
              </w:rPr>
              <w:t xml:space="preserve">de minimis </w:t>
            </w:r>
            <w:r w:rsidR="00000000" w:rsidRPr="00000000" w:rsidDel="00000000">
              <w:rPr>
                <w:rtl w:val="0"/>
              </w:rPr>
              <w:t xml:space="preserve">atbalsta piešķiršanas gala labuma guvējam pārbauda, vai atbalsta apmērs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Komisijas regulas Nr. 2023/2831 3. panta 2. punktā noteikto maksimālo </w:t>
            </w:r>
            <w:r w:rsidR="00000000" w:rsidRPr="00000000" w:rsidDel="00000000">
              <w:rPr>
                <w:i w:val="1"/>
                <w:rtl w:val="0"/>
              </w:rPr>
              <w:t xml:space="preserve">de minimis </w:t>
            </w:r>
            <w:r w:rsidR="00000000" w:rsidRPr="00000000" w:rsidDel="00000000">
              <w:rPr>
                <w:rtl w:val="0"/>
              </w:rPr>
              <w:t xml:space="preserve">atbalsta apmēru. </w:t>
            </w:r>
            <w:r w:rsidR="00000000" w:rsidRPr="00000000" w:rsidDel="00000000">
              <w:rPr>
                <w:i w:val="1"/>
                <w:rtl w:val="0"/>
              </w:rPr>
              <w:t xml:space="preserve">De minimis</w:t>
            </w:r>
            <w:r w:rsidR="00000000" w:rsidRPr="00000000" w:rsidDel="00000000">
              <w:rPr>
                <w:rtl w:val="0"/>
              </w:rPr>
              <w:t xml:space="preserve"> atbalsta apmērs tiek vērtēts viena vienota uzņēmuma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regulas Nr. 2023/2831 preambulas 11.apsvērumu “Trīs gadu laikposms šīs regulas vajadzībām būtu jāvērtē kā slīdošs periods. Attiecībā uz katru jaunu de minimis atbalsta piešķiršanu jāņem vērā de minimis atbalsta kopsumma, kas piešķirta iepriekšējos trīs gados.". Attiecīgi lūdzam lietot Komisijas regulas Nr. 2023/2831 3. panta 2. punktā lietoto formulējumu, piemēram, de minimis kopsummu ir jāpārbauda trīs gadu periodā skaitot no de minimis atbalsta piešķiršanas lēmuma pieņemšanas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 skaidrojumu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ja tiek pārkāptas komercdarbības atbalsta kontroles normas, kas izriet no Komisijas regulas Nr. 2023/2831, gala labuma guvējam ir pienākums atmaksāt atbalsta sniedzējam visu projekta ietvaros saņemto nelikumīgo de minimis atbalstu kopā ar procentiem no līdzekļiem, kas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būtu skaidrs, ka nelikumīgs de minimis atbalsts ir tikai tad, kad tiek pārkāptas Komisijas regulas Nr. 2023/2831 normas, lūdzam noteikumu 27.6. apakšpunktu izteikt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ja tiek pārkāptas Komisijas regulas Nr. 2023/2831 prasības, gala labuma guvējam ir pienākums atmaksāt atbalsta sniedzējam projekta ietvaros saņemto nelikumīgo </w:t>
            </w:r>
            <w:r w:rsidR="00000000" w:rsidRPr="00000000" w:rsidDel="00000000">
              <w:rPr>
                <w:i w:val="1"/>
                <w:rtl w:val="0"/>
              </w:rPr>
              <w:t xml:space="preserve">de minimis </w:t>
            </w:r>
            <w:r w:rsidR="00000000" w:rsidRPr="00000000" w:rsidDel="00000000">
              <w:rPr>
                <w:rtl w:val="0"/>
              </w:rPr>
              <w:t xml:space="preserve">atbalstu kopā ar procentiem no līdzekļiem, kas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papildu netiešās izmaksas un citi darbības izdevumi, tostarp materiālu, piederumu un līdzīgu produktu izmaksas, kas radušās tieši projekta rezultātā;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pareizi saprotam, ka "papildu netiešās izmaksas" var uzskatīt par izmaksām atbilstoši vadošās iestādes vadlīniju Nr.1.1. "Vadlīnijas par vienkāršoto izmaksu izmantošanas iespējām un to piemērošana Eiropas Savienības kohēzijas politikas programmas 2021.–2027.gadam ietvaros" 6.2.punktam. Ja tā, tad vēršam uzmanību, ka netiešās attiecināmās izmaksas projektā var plānot kā fiksētu procentuālo likmi, neizstrādājot vienkāršoto izmaksu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netiešo izmaksu vienotā likme 7% apmērā no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netiešo izmaksu vienotā likme 15% apmērā no tiešajām attiecināmajām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Atbalsta uzskaite, neatbalstāmās nozares un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gala labuma guvēja pienākumu nodrošināt interešu konflikta, krāpšanas un korupcijas risku neesamību, kā arī papildināt anotāciju ar informāciju, ka gala labuma guvējs izstrādās iekšējo kārtību, kādā tiks nodrošināta interešu konflikta, krāpšanas un korupcijas risku neesamība.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projektu ar akciju sabiedrības “Attīstības finanšu institūcija Altum” (turpmāk – sabiedrība “Altum”) pienākumu nodrošināt, ka attiecībā uz atbalsta piešķiršanu gala labuma guvējam tiek nodrošināta dubultā finansējuma neiestāšanās.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nodrošināt nozaru darbību vai izmaksu nodalīšanu, ja gala labuma guvējs vienlaikus darbojas vienlaikus darbojas saskaņā ar šiem noteikumiem atbalstāmajās un neatbalstāmajās nozarēs un darbībās.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pie noteikumu projekta 27.2. apakšpunkta izteikto iebildumu par nozaru nodalīšanu, lūdzam noteikumu projekta 41.3. apakšpunktu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nodrošināt darbību un finanšu plūsmu nodalīšanu atbalstāmās nozarēs, ja gala labuma guvējs vienlaikus darbojas saskaņā ar šiem noteikumiem atbalstāmajās un neatbalstāmajās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Sabiedrības "Altum" pienākums ir uzkrāt un pēc  Ekonomikas ministrijas pieprasījuma 10 darbdienu laikā iesniegt informāciju par gala labuma guvēja eksporta apjomu un produktivitātes pieaugumu, vienlaikus informējot, vai produktivitātes apjoms atbalstītajos gala labuma guvējs sasniedz vismaz 10 % piecu gadu laikā no gala labuma guvēju noslēguma pārskata iesniegšanas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iespējamu šī punkta nosacījumu pretrunu ar noteikumu projekta 26.2.apakšpunktā noteikto, ka gala labuma guvējs var pretendēt uz kapitāla atlaidei, ja tam ne vēlāk kā </w:t>
            </w:r>
            <w:r w:rsidR="00000000" w:rsidRPr="00000000" w:rsidDel="00000000">
              <w:rPr>
                <w:u w:val="single"/>
                <w:rtl w:val="0"/>
              </w:rPr>
              <w:t xml:space="preserve">trīs gadu laikā </w:t>
            </w:r>
            <w:r w:rsidR="00000000" w:rsidRPr="00000000" w:rsidDel="00000000">
              <w:rPr>
                <w:rtl w:val="0"/>
              </w:rPr>
              <w:t xml:space="preserve">pēc projekta pabeigšanas projekta īstenošanas rezultātā preču vai pakalpojumu eksporta apjoms pieaudzis par ne mazāk kā un vairāk kā 10 procentiem. Lūdzam salāgot abu punktu normu prasības, kā arī veikt nepieciešamos precizējumus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eksporta un produktivitātes kritēriju piemērot horizontāli 1.2.1.specifiskā atbalsta mērķa ietvaros visiem gala labuma guvējiem ar vienotu pieeju. Vēršam uzmanīgu, ka 1.2.1.3.pasākuma "Uzņēmuma atbalsts dalībai kapitāla tirgos" īstenošanas noteikumu grozījuma projekts paredz abu kritēriju piecu gadu uzraudzības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Sabiedrības "Altum" pienākums ir uzkrāt un pēc  Ekonomikas ministrijas pieprasījuma 10 darbdienu laikā iesniegt informāciju par gala labuma guvēja eksporta apjomu un produktivitātes pieaugumu, vienlaikus informējot, vai produktivitātes apjoms atbalstītajos gala labuma guvējs sasniedz vismaz 10 % piecu gadu laikā no gala labuma guvēju noslēguma pārskata iesniegšanas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ministriju kā uzņēmējdarbības atbalsta nozares veidotājus skaidrot, kas būs tā nozares institūcija, kas apkopos un analizēs sabiedrības "Altum" sniegtos datus (šajā pasākumā) un sadarbības iestādes sniegtos datus (1.2.1.3 .pasākumā), ņemot vērā to, ka Ministru kabineta 2023. gada 7.novembra sēdes protokola Nr. 56 32.paragrāfa 7.punkta uzdevums par eksporta apjoma un produktivitātes pieaugumu 10 % apmērā ir attiecināms ne tikai uz 1.2.1.2. pasākumu, bet gan uz visiem Eiropas Savienības kohēzijas politikas programmas 2021.–2027. gadam (turpmāk – KP programma).gada 1.2.1. specifiskā atbalsta mērķa pasākumu ietvaros atbalstītajiem uzņēmumiem. Tāpat MK noteikumu projekta 44.punkts nosaka, ka komersantam eksporta apjoma un produktivitātes pieaugums ir jāsasniedz piecu gadu laikā no gala labuma guvēju noslēguma pārskata iesniegšanas dienas, vēršam uzmanību, ka šis termiņš var pārsniegt ES fondu 2021.-2027.gada plānošanas perioda ietvaru. Aicinām EM izvērtēt nepieciešamību noteikt vienot kārtību produktivitātes un eksporta rādītāju noziņošanai 1.2.1.specifiskā atbalsta mērķa ietvaros un to skaidri aprakstīt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sniegt skaidrojumu kā tiks nodrošināta demarkācija, piemēram, ar Ministru kabineta 2022. gada 5. jūlija noteikumu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ietvaros un citos atbalsta pasākumos, kurus īsteno sabiedrība “Altum”, noteikto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anotācijas 1.3.sadaļas apakšsdaļas “Risinājuma apraksts” punkta “Atbalsts un pieejamais finansējums” trešajā rindkopā minēto, ka Ekonomikas ministrija sadarbībā ar sabiedrību “Altum” sagatavos izvērtējumu programmas rādītāju novērtējumam un iesniegs to Ministru kabinetā kopā ar noteikumu projektu,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sabiedrības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skaidrojumu, vai eksporta un produktivitātes pieaugums vismaz 10% apmērā ir jānodrošina sākot no pirmā gada un ik gadu piecu gadu laikā pēc atbalsta saņemšanas. Tāpat lūdzam skaidrot kādas sankcijas tiks piemērotas finansējuma saņēmējiem, kas šos rādītājus neizpildīs vai neizpildīs daļēji.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atbalsta pasākumiem disproporcijas mazināšanai Latvijas reģionos, īpaši norādot, kā tiks veicināts atbalsta pieprasījums Latgalē.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projektā minēto, atbalstu sniedz t.sk. kā de minimis atbalstu saskaņā ar Komisijas regulu Nr. 2023/2831. Lūdzam precizēt skaidrojumu anotācijā un aizstāt atsauci uz Komisijas 2013. gada 18. decembra Regulu (ES) Nr. 1407/2013 par Līguma par Eiropas Savienības darbību 107. un 108. panta piemērošanu de minimis atbalstam (turpmāk – Komisijas regula Nr. 1407/2013) ar atsauci uz Komisijas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pasākuma atdevi un ietekmi uz ekonomikas transformāciju, kā arī potenciālo ietekmi uz IKP, tai skaitā sniedzot aplēses par sagaidāmiem valsts budžeta nodokļu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5.4. 1.tabulu ar noteikumu projekta normu izvērtējumu atbilstoši piemērojam komercdarbības atbalsta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tabulu papildināt ar informāciju, ka Ekonomikas ministrija 20 darba dienu laikā pēc noteikumu spēkā stāšanās iesniegs pasākuma kopsavilkuma informāciju Eiropas Komisijai izmantojot SANI2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1.2.1.  specifiskā atbalsta mērķa “Pētniecības un inovāciju kapacitātes stiprināšana un progresīvu tehnoloģiju ieviešana uzņēmumiem" 1.2.1.2. pasākuma "Produktivitātes aizdevumi uzņēmumu inovācijām" īstenošanas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2023. gada 5. septembra noteikumi Nr. 510 'Eiropas Savienības kohēzijas politikas programmas 2021.–2027. gadam finanšu instrumentu kopīgie īstenošanas noteikumi" (turpmāk - MK noteikumi Nr.510) ir uzskatāmi par finanšu instrumentu horizontāliem noteikumiem, lūdzam precizēt noteikumu projekta nosaukumu pēc citu finanšu instrumentu valsts atbalsta programmu līdzības, izsakot to, piemēram, šādā redakcijā: "Noteikumi par produktivitātes aizdevumiem uzņēmumu inovācijām".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sagaidāmo ERAF pārdali Altum uzņēmumu digitalizācijas programmas turpināšanai, nodrošinot ERAF atbalstu esošās ANM investīcijas turpināšanai, tad saskatām pārklāšanās MK noteikumu projektā piedāvātajai inovāciju programmas iekārtu sadaļai ar digitalizācijas programmu, t.sk. tām sakrīt regulējums – Komisijas regulas Nr. 651/2014 14.pants un kapitāla atlaides elements. Attiecīgi piedāvājam ERAF pārdali digitalizācijas programmas turpināšanai iekļaut šajos noteikumos un veidot kā vienus MK noteikumus, EM virzīto noteikumu projektu precizējot atbilstoši esošās digitalizācijas programmas nosacījumiem. Savukārt noteikumu projektā paredzēto aizdevumu (bez kapitāla atlaides) sadaļu, kas plānota pētniecībai kā de minimis atbalsts, iespējams pārcelt uz MK noteikumu Nr.1065 ietvaros īstenoto KP programmas 1.2.3.5. pasākumu "Aizdevumi, produktivitātes kāpināšanai (investīcijas un apgrozāmie līdzekļi)", kuras ietvaros kā de minimis atbalsts jau šobrīd pieejams arī aizdevums pētniecībai, kas nav ierobežota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pēc nepieciešamības izteikt noteikumu projekta 1. punktu jaunā redakcijā, ievērojot Eiropas Savienības fondu 2021.—2027. gada plānošanas perioda vadības likuma 19. panta 14. punktā un Attīstības finanšu institūcijas likuma 12. panta ceturtajā daļā ietvertos deleģējumus.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vēršam uzmanību, ka noteikumu projekta 1.5. apakšpunkts atbilst Eiropas Savienības fondu 2021.—2027. gada plānošanas perioda vadības likuma 19. panta 13. punktā ietvertajam deleģējumam, un noteikumu projektā nav noteiktas prasības projekta iesniedzējam.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gala labuma guvējs - Latvijas Republikas komercreģistrā reģistrēts komersants, kas atbilst vienam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 noteikumu projekta 2.punkta būtību (skaidrot šo noteikumu ietvaros izmantotos terminus), aicinām 2.10.3.-2.10.5.apakšpunktu pārcelt uz citu noteikumu projekta nodaļu, piemēram, aiz šī noteikumu projekta 26.punkta, jo minētajos apakšpunktos tiek noteikti nosacījumi atbalsta saņemšanai, nevis terminu skaidrojumi.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gala labuma guvējs - Latvijas Republikas komercreģistrā reģistrēts komersants, kas atbilst vienam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gala labuma guvējus, lūdzam izvērtēt un papildināt noteikumu projekta 2.10. apakšpunktu ar Eiropas Savienības fondu 2021.—2027.gada plānošanas perioda vadības likuma 22. pantā uzskaitītajiem izslēgšanas noteikumiem, tādējādi paredzot, ka sabiedrība "Altum" izvērtē gala labuma guvējus atbilstoši izslēgšanas noteikumiem pēc analoģijas ar minētā likuma 22. pantā uzskaitītajiem, kā rezultātā sabiedrība "Altum" būtu tiesīga noraidīt gala labuma guvēja projekta pieteikumu. Vēršam uzmanību, ka gala labuma guvēji izvērtējami atbilstoši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 noteiktajiem izslēgšanas kritērijiem, savukārt nacionāli attiecīgie izslēgšanas kritēriji ir pārņemti Eiropas Savienības fondu 2021.—2027. gada plānošanas perioda vadības likuma 22.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aizsargātu Eiropas Savienības finanšu intereses un nodrošinātu drošu finanšu vadību, nav pieļaujams, ka Eiropas Savienības finanšu līdzekļi tiek piešķirti dalībniekiem, kas atbilst kādam no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nodrošināt finansējuma pieejamību gala labuma guvēja attīstībai Latvijā, nodrošinot tiem nepieciešamo atbalstu jaunu inovatīvu produktu izstrādei, inovatīvu ražošanas procesu ieviešanai, kā arī stimulēt privātā sektora ieguldījumus pētniecībā, attīstībā un inovācijās, atbalstot gala labuma guvēju projektu īstenošanu viedās specializācijas stratēģijas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programmas 83.§ ir noteikts, ka atbalsts uzņēmumu P&amp;I aktivitātei paredzēs plānotās atbalstāmās darbības produktivitātes aizdevumiem inovatīvām iekārtām, P&amp;A, tehnoloģiju pārnesei. Lūdzam nodrošināt atbalsta pasākuma atbilstību KP programmai.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Atbalstu pētniecības un attīstības darbībām līdz 1 000 000 euro sniedz kā sabiedrības “Altum” aizdevumu.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minēts, ka 1.2.1.2. pasākumu īsteno atbalsta veidā, kas noteikumu projekta izpratnē ir kombinētais finanšu instruments, no kā izriet, ka 6.punktā minētais atbalsts arī ir kombinēta finanšu instrumenta veidā. Lūdzam izskatīt iespēju precizēt.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Pasākumam pieejamais un plānotais kopējais attiecināmais finansējums līdz 2029. gada 31. decembrim ir noteikts saskaņā ar normatīvo aktu, kas nosaka Eiropas Savienības kohēzijas politikas programmas 2021.–2027. gadam ietvaros izmantojamo finanšu instrumentu īstenošanas kārtību, pieejamo finansējumu, atbalstāmās darbības un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 vārda "finansējums" papildināt ar vārdiem "un pasākuma ietvaros sasniedzamie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nodrošinātu finansējumu sabiedrības "Altum" aizdevuma ar kapitāla atlaidi vai paralēlā aizdevuma ar kapitāla atlaidi piešķiršanai tā daļā, kas pārsniedz pieejamo kapitāla atlaides apmēru, sabiedrība "Altum" var piesaistīt valsts aizdevumu kredītlīnijas veidā vai piesaistīt finansējumu tirgū, tai skaitā aizņemoties finansējumu no starptautiskajām finanšu institūcijām, ne vairāk kā 45 000 000 </w:t>
            </w:r>
            <w:r w:rsidR="00000000" w:rsidRPr="00000000" w:rsidDel="00000000">
              <w:rPr>
                <w:i w:val="1"/>
                <w:rtl w:val="0"/>
              </w:rPr>
              <w:t xml:space="preserve">euro </w:t>
            </w:r>
            <w:r w:rsidR="00000000" w:rsidRPr="00000000" w:rsidDel="00000000">
              <w:rPr>
                <w:rtl w:val="0"/>
              </w:rPr>
              <w:t xml:space="preserve">apmērā. Valsts aizdevuma atmaksas termiņš ir līdz 2049. gada 31. decembrim. Valsts aizdevumam nepiemēro riska likmi un to nodrošina ar komercķīlu, sabiedrībai "Altum" ieķīlājot prasījuma tiesības un to nākamās sastāvdaļas kā lietu kopību, kas izrietēs no sabiedrības "Altum" izsniegtajiem aizdevumiem.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12.punktā noteikto sabiedrības "Altum" papildus piesaistāmā finansējuma apmēru (45 000 000 EUR). Vēršam uzmanību, ka ES fondu 2021.-2027.gada plānošanas perioda tirgus nepilnību izvērtējumā ir noteikts, ka kombinētajam finanšu instrumentam ar granta un izdevuma komponenti tiks piesaistīts sabiedrības 'Altum" līdzfinansējums 80 000 000 EUR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projekta īstenošanas rezultātā preču vai pakalpojumu eksporta apjoms pieaudzis par ne mazāk kā un vairāk kā 10 procentiem;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26.2.apakšpunktā ietverto normu pārcelt uz šī noteikumu projekta 44.punktu, kur ir noteikts kritērijs par produktivitātes apjomu, vai 44.punktā noteikto normu par produktivitātes kritēriju pārcelt uz 26.punkta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projekta īstenošanas rezultātā uz katriem kopējās pieejamās kapitāla atlaides 250 000 euro ir radīta vismaz viena jauna darba vieta ar pilnu darba slodzi un kopā ir radītas vismaz 10 jaunas darba vietas ar pilnu darba slodzi;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veicināta digitalizācija, tad darba vietu skaits var tieši samazināties, nevis palielināties. Šāds kritērijs tomēr nav attīstību veicinošs un gala saņēmējiem nevajadzētu uzlikt par pienākumu sasniegt tādus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ja gala labuma guvējs vienlaikus darbojas vienā vai vairākās neatbalstāmajās nozarēs un veic neatbalstāmās darbības vai citas darbības, kas ietilpst Komisijas regulas Nr. 2023/2831 darbības jomā, tas nodrošina šo nozaru darbību vai izmaksu nodalīšanu saskaņā ar Komisijas regulas Nr. 2023/2831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27.2. apakšpunktā noteiktā prasība par neatbalstāmo nozaru darbību vai finanšu plūsmas nodalīšanu nebūtu attiecināma arī uz šo noteikumu 45.1. - 45.5. apakšpunktā noteiktajām neatbalstāmajām nozarēm.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III. sadaļas ietvaros ir šādas atbalstāmās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arī citos EM atbildībā esošajos ES fondu pasākumos paredzēts atbalsts eksperimentālām izstrādēm, tehniski ekonomiskai priekšizpētei u.c., lūdzam papildināt anotāciju ar izvērtējumu par sinerģiju, demarkāciju un dubultfinansējuma riskiem ar citiem EM atbildībā esošiem ES fondu līdzfinansētiem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izmaksas par ēkām un zemi, ciktāl un cik ilgi tās izmanto projektā. Attiecībā uz ēkām par attiecināmajām izmaksām ir uzskatāmas tikai tās amortizācijas izmaksas, kas atbilst projekta ilgumam un ir aprēķinātas saskaņā ar vispārpieņemtiem grāmatvedības principiem. Attiecībā uz zemi par attiecināmajām izmaksām ir uzskatāmas komerciālās nodošanas izmaksas vai faktiski veikto kapitālieguldījumu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29.3. apakšpunktā precizēt konkrētu izmaksu veidu, piemēram, īre, pirkšana, būvniecība, jo no piebildes "cik ilgi to izmanto projektā" nav saprotams plānotā pirkuma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Kārtība un nosacījumi, lai pieteiktos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atbilstošām normām vai anotāciju ar skaidrojumu par atbalsta piešķiršanas strīdu risināšanas kārtību starp sabiedrību "Altum" un gala labuma guvēju.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sabiedrības "Altum" aizdevumam vai paralēlajam aizdevumam, kas ir vienāds ar piešķirto kapitāla atlaidi, subsīdijas ekvivalents ir vienāds ar gala labuma guvēja piešķirtā sabiedrības "Altum" aizdevuma vai paralēlā aizdevuma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ir iespējama situācija, ka aizdevums ir vienāds ar kapitāla atlaidi, ja noteikumu projekta 7.punktā noteikts, ka "Kombinētajā finanšu instrumentā sabiedrība “Altum” piešķirtā maksimālā kapitāla atlaide ir līdz 50 procentiem no sabiedrības “Altum” piešķirtā aizdevuma ar kapitāla atlaidi vai paralēlā aizdevuma ar kapitāla atlaidi", bet pie definīcijām norādīts, ka kapitāla atlaide – sabiedrības “Altum” aizdevuma vai sabiedrības “Altum” paralēlā aizdevuma pamatsummas daļējs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Sabiedrības "Altum" pienākums ir uzkrāt un pēc  Ekonomikas ministrijas pieprasījuma 10 darbdienu laikā iesniegt informāciju par gala labuma guvēja eksporta apjomu un produktivitātes pieaugumu, vienlaikus informējot, vai produktivitātes apjoms atbalstītajos gala labuma guvējs sasniedz vismaz 10 % piecu gadu laikā no gala labuma guvēju noslēguma pārskata iesniegšanas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44. punktā Ekonomikas ministrija saprotama kā nozares ministrija vai atbildīgā iestāde, un atbilstoši precizēt noteikumu projekta 44.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norādīts, ka </w:t>
            </w:r>
            <w:r w:rsidR="00000000" w:rsidRPr="00000000" w:rsidDel="00000000">
              <w:rPr>
                <w:u w:val="single"/>
                <w:rtl w:val="0"/>
              </w:rPr>
              <w:t xml:space="preserve">Finanšu ministrija</w:t>
            </w:r>
            <w:r w:rsidR="00000000" w:rsidRPr="00000000" w:rsidDel="00000000">
              <w:rPr>
                <w:rtl w:val="0"/>
              </w:rPr>
              <w:t xml:space="preserve"> nepieciešamo finansējumu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 Ņemot vērā, ka noteikumu projekta 8.punkts paredz, ka aizdevumus ar kapitāla atlaidi un paralēlos aizdevumus ar kapitāla atlaidi izsniedz un kapitāla atlaidi piešķir un piemēro sabiedrība </w:t>
            </w:r>
            <w:r w:rsidR="00000000" w:rsidRPr="00000000" w:rsidDel="00000000">
              <w:rPr>
                <w:u w:val="single"/>
                <w:rtl w:val="0"/>
              </w:rPr>
              <w:t xml:space="preserve">"Altum"</w:t>
            </w:r>
            <w:r w:rsidR="00000000" w:rsidRPr="00000000" w:rsidDel="00000000">
              <w:rPr>
                <w:rtl w:val="0"/>
              </w:rPr>
              <w:t xml:space="preserve">, lūdzam skaidrot vai finansējums ir plānojams Finanšu ministrijas budžetā, no kura tas tiks pārskaitīs sabiedrībai "Altum".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19.03.2024.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19.03.2024.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Atzinumi_23-TA-2315.docx</dc:title>
</cp:coreProperties>
</file>

<file path=docProps/custom.xml><?xml version="1.0" encoding="utf-8"?>
<Properties xmlns="http://schemas.openxmlformats.org/officeDocument/2006/custom-properties" xmlns:vt="http://schemas.openxmlformats.org/officeDocument/2006/docPropsVTypes"/>
</file>