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Ārzemnieku biometrijas datu informācijas sistēmā iekļaujamo ziņu apjomu, iekļaušanas kārtību, izmantošanas nosacījumus un glabāšanas termiņus, institūcijas, kurām piešķirama piekļuve informācijas sistēmā esošajām ziņām, kā arī institūcijas, kuras ir tiesīgas pieprasīt biometrisko datu salīdzināšanu ar Eurodac centrālo datubāzi, un šādas salīdzināšanas pieprasīšanas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biometrisko datu apstrāde rada īpašu risku personas pamattiesībām. Biometrisko datu unikalitātes dēļ to noplūšana rada personai riskus visas dzīves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datu apstrāde izriet no ES tiesību aktiem un pati par sevi ir leģitīma, tomēr no nacionālā tiesiskā regulējuma kvalitātes viedokļa, šobrīd piedāvātā normas redakcija neatbilst Datu regulā nostiprinātajam pārredzamības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augstos riskus personas pamattiesībām un pamatbrīvībām, tieši likuma līmenī būtu nostiprināms šaurs nolūks kādam šie dati var tikt izmantoti un nodoti citām institūcijām bez iespējamām atkāpēm. Tāpat būtu nepieciešams noteikt termiņu, cik ilgi šāda informācija tiks glabāta vai vismaz kritēriji, pēc kuriem Ministru kabinetam šos termiņus noteikt. Ievērojot minēto, likumprojekts attiecīgi precizējams, vai papildināma anotācija, norādot par plānotajiem grozījumiem citos likumos, kas regulē šo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Šajā likumā paredzēto personas datu apstrādi uzrauga Datu valsts inspekcija.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vērš uzmanību, ka saskaņā ar Vispārīgo datu aizsardzības regulu, likumu "Par fizisko personu datu apstrādi kriminālprocesā un administratīvā pārkāpuma procesā", kā arī Eiropas Parlamenta un Padomes Regulu (ES) 2024/1358 personas datu apstrādes atbilstību normatīvo aktu prasībām uzrauga uzraudzības iestāde, kas Latvijā ir 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kompetence jau izriet no tieši piemērojamiem Eiropas Savienības tiesību aktiem un nacionālajiem tiesību aktiem, Inspekcijas ieskatā  4. panta septītā daļa no likumprojekta ir izslēdzama. Arī no anotācijas nav konstatējams, ka ar minēto normu Inspekcijai būtu paredzētas jaunas funkcijas vai uzdevumi, kas jau neizriet no Inspekcijas darbību regulējošajiem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minētajam lēmumam pievieno patvēruma meklētāja fotoattēlu.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19. panta ceturtā daļa paredz, ka lēmumam par pārvietošanās brīvības ierobežojuma – izvietošanas konkrētā vietā – piemērošanu pievieno patvēruma meklētāja fotoattēlu.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nav secināms minētās personas datu apstrādes nolūks un nepieciešamība. Vienlaikus Inspekcija nav konstatējusi, ka prasība pievienot patvēruma meklētāja fotoattēlu lēmumam izrietētu no likumprojektā norādītajiem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izvērtēt 19. panta ceturtajā daļā paredzētās prasības nepieciešamību un anotācijā sniegt skaidrojumu par fotoattēla pievienošanas lēmumam nolūku, nepieciešamību un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minētajam lēmumam pievieno patvēruma meklētāja fotoattēlu.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panta trešā daļa paredz, ka lēmumam par ar aizturēšanu nesaistīta ierobežojošā pasākuma piemērošanu pievieno patvēruma meklētāja fotoattēlu.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nav secināms minētās personas datu apstrādes nolūks un nepieciešamība. Vienlaikus Inspekcija nav konstatējusi, ka prasība pievienot patvēruma meklētāja fotoattēlu lēmumam izrietētu no likumprojektā norādītajiem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izvērtēt 21. panta trešajā daļā paredzētās prasības nepieciešamību un anotācijā sniegt skaidrojumu par fotoattēla pievienošanas lēmumam nolūku, nepieciešamību un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22. punktu tiesību akta projekta anotācija izstrādājama, ievērojot sagatavotās vadlīnijas un tajās ietvertās rekomendācijas. Tādējādi anotācijai ir ne tikai informatīva, bet arī metodoloģiska funkcija, nodrošinot pilnvērtīgu un strukturētu projekta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personas datu apstrādi, anotācijas 8.1.13. sadaļā būtu nepieciešams sniegt izvērstu un saturiski pilnvērtīgu izvērtējumu par ietekmi uz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anotācijas redakcija šo prasību tvērumā nav pietiekami izvērsta un neatbilst Valsts kancelejas izstrādātajām vadlīnijām “Vadlīnijas tiesību akta projekta sākotnējās ietekmes novērtēšanai un novērtējuma ziņojuma sagatavošanai vienotajā tiesību aktu izstrādes un saskaņošanas portālā”, kurās datu aizsardzības horizontālajai ietekmei paredzēta detalizēta un strukturēta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pārstrādāt un papildināt anotācijas 8.1.13.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Patvēruma meklētājam piemērojamie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izmetināšanas centros notiek drošības uzraudzība, tai skaitā, videonovērošana, Inspekcija rosina izvērtēt nepieciešamību papildināt likumprojektu, piemēram, 31. pantu, paredzot, ka izmitināšanas centrā var tikt veikta uzraudzība, tostarp novērošana, definējot nolūku, kādā tas var tikt 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16.06.2026.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16.06.2026.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