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personas statuss Iedzīvotāju reģistrā (aktīvs, pasīvs);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28.06.2021. spēku zaudēja Iedzīvotāju reģistra likums un spēkā stājās Fizisko personu reģistra likums, kā arī savu darbību izbeidza Iedzīvotāju reģistra informācijas sistēma un savu darbību uzsāka Fizisko personu reģistra informācijas sistēma. Ņemot vērā minēto, lūdzam aizstāt vārdus "Iedzīvotāju reģistrs" ar vārdiem "Fizisko personu reģistrs".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05.09.2023.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05.09.2023.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Atzinumi_23-TA-995.docx</dc:title>
</cp:coreProperties>
</file>

<file path=docProps/custom.xml><?xml version="1.0" encoding="utf-8"?>
<Properties xmlns="http://schemas.openxmlformats.org/officeDocument/2006/custom-properties" xmlns:vt="http://schemas.openxmlformats.org/officeDocument/2006/docPropsVTypes"/>
</file>