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minimālais attiecināmo izmaksu apmērs nav mazāks par 200 000</w:t>
            </w:r>
            <w:r w:rsidR="00000000" w:rsidRPr="00000000" w:rsidDel="00000000">
              <w:rPr>
                <w:i w:val="1"/>
                <w:rtl w:val="0"/>
              </w:rPr>
              <w:t xml:space="preserve"> euro</w:t>
            </w:r>
            <w:r w:rsidR="00000000" w:rsidRPr="00000000" w:rsidDel="00000000">
              <w:rPr>
                <w:rtl w:val="0"/>
              </w:rPr>
              <w:t xml:space="preserve">, un projekta iesnieguma maksimālais ERAF finansējums ir 800 000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publiskās ārtelpas attīstības iespējas nepieciešamajā apjomā un kvalitātē valstspilsētu teritorijās, lūdzam noteikt augstāku maksimālo attiecināmo izmaksu apmēru vienam projektam, nosakot to 1 000 000 euro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minimālais attiecināmo izmaksu apmērs nav mazāks par 200 000 euro, un projekta iesnieguma maksimālais ERAF finansējums ir 1 000 000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kas pēc projekta iesnieguma apstiprināšanas un civiltiesiskā līguma vai vienošanās par projekta īstenošanu noslēgšanas ir finansējuma saņēmējs, pasākuma ietvaros var būt pašvaldība, tās izveidota iestāde vai pašvaldības kapitālsabiedrība, kas veic pašvaldības deleģēto pārvaldes uzdevumu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19.punktā ietvertais formulējums “pašvaldības kapitālsabiedrība, kas veic pašvaldības deleģēto pārvaldes uzdevumu izpildi” ir interpretējams plašāk, nekā gramatiski normā minēts. Līdz ar to lūdzam precizēt MK noteikumu projekta 19.punktu, nosakot, ka “Projekta iesniedzējs, kas pēc projekta iesnieguma apstiprināšanas un civiltiesiskā līguma vai vienošanās par projekta īstenošanu noslēgšanas ir finansējuma saņēmējs, pasākuma ietvaros ir pašvaldība, pašvaldības izveidota iestāde vai pašvaldības kapitālsabiedrība, kas veic pašvaldības deleģēto pārvaldes uzdevumu izpildi, sniedz pakalpojumus ar vispārēju tautsaimniecisku nozīmi vai pilda citus no pašvaldības funkcijām izrietošus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noteikts, ka Projekta iesnieguma minimālais attiecināmo izmaksu apmērs nav mazāks par 200 000 euro, un projekta iesnieguma maksimālais ERAF finansējums ir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anotācijā minēts, ka ERAF finansējums plānots no 300 000 euro līdz 800 000 euro (maksimālais pieejamais ERAF finansējums), līdz ar to nepieciešams novērst neatbilstību starp noteikumu projektā un anotācijas projektā 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ārtelpa šo noteikumu izpratnē ir sabiedrībai brīvi pieejamas teritorijas un telpas, ko veido bulvāri, laukumi, publisku ēku pagalmi, pasāžas, krastmalas, promenādes, parki, mežaparki, skvēri, publiskie ūdeņi un citas vietas, kas nodotas publiskai lietošanai.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MK noteikumu projekta izpratnē ar publisko ārtelpu saprot arī gājēju ielas, kas ietilptu MK noteikumu projekta 25.2.5.punktā lietotajā terminā “gājēju kustības infrastruktūra”. Vēršam uzmanību, ka gājēju iela kā termins tiek izmantots plašāk kā MK noteikumu projekta 9.punktā minētie ārtelpas piemēri - bulvāris, pasāža, promenāde.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Pasākumu īsteno līdz 2026.gada 31.decembrim, sasniedzot programmas iznākuma rādītāju - jaunizveidotas vai atjaunotas atvērtās zonas (publiskās teritorijas) pilsētvidē – 117 666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MK noteikumu projekta 11.punktā lietotais termins “publiskās teritorijas” saprot to pašu, ko MK noteikumu 9.punktā definē kā terminu “publiska ārtelpa”.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Mazitāne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22-TA-3340</w:t>
    </w:r>
    <w:r>
      <w:br/>
    </w:r>
    <w:r w:rsidR="00000000" w:rsidRPr="00000000" w:rsidDel="00000000">
      <w:rPr>
        <w:rtl w:val="0"/>
      </w:rPr>
      <w:t xml:space="preserve">Izdrukāts 16.03.2023.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Atzinumi_22-TA-3340.docx</dc:title>
</cp:coreProperties>
</file>

<file path=docProps/custom.xml><?xml version="1.0" encoding="utf-8"?>
<Properties xmlns="http://schemas.openxmlformats.org/officeDocument/2006/custom-properties" xmlns:vt="http://schemas.openxmlformats.org/officeDocument/2006/docPropsVTypes"/>
</file>