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DRN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dabas resursu nodokļu ieņēmumi attiecīgajā proporcijā tiek ieskaitīti vispārējos valsts budžeta ieņēmumos, kā arī likumā noteikto par dabas resursu nodokļa mērķi un anotācijas 3.sadaļā sniegto informāciju, lūdzam anotācijas 1.3.sadaļas 16.punktā svītrot norādīto, ka ar attiecīgo grozījumu plānots nodrošināt finansējumu Valsts vides dienestam kapacitātes celšanai un efektīvākai dabas resursu ieguves uzraudzības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ailē “Saskaņā ar valsts budžetu kārtējam gadam” 2023.gadam un ailēs “Saskaņā ar vidēja termiņa budžeta ietvaru” 2024. un 2025.gadam precizēt norādīto ieņēmumu apmēru, lai tie atbilstu likumā “Par valsts budžetu 2023. gadam un budžeta ietvaru 2023., 2024. un 2025. gadam” noteiktajam, attiecīgi arī precizēt izmaiņu ailēs 2024.-2025.gadam norādīto informāciju. Vienlaikus norādām, ka šobrīd anotācijas 1.- 5.punktos un to apakšpunktos norādītās izmaiņu summas nesakrīt ar likumprojekta anotācijas 2.pielikumā norādītajiem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1.2.sadaļā precizēt norādīto informāciju, ka likumprojekts stājas spēkā vispārējā kārtībā, ņemot vērā, ka likumprojektā norādīts, ka likums stāsies spēkā 2024.gada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ietvertie grozījumi ietekmē valsts budžetu vidējā termiņā, lūdzam izskatīt iespēju iekļaut to likumprojekta "Par valsts budžetu 2024. gadam un budžeta ietvaru 2024., 2025. un 2026. gadam"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